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67AD" w14:textId="1B918EEB" w:rsidR="00884C43" w:rsidRPr="00E63AD8" w:rsidRDefault="00462A6E" w:rsidP="00462A6E">
      <w:pPr>
        <w:pStyle w:val="Ttulo1"/>
        <w:ind w:left="0" w:firstLine="0"/>
        <w:rPr>
          <w:rFonts w:ascii="Calibri" w:eastAsia="Calibri" w:hAnsi="Calibri" w:cs="Calibri"/>
          <w:sz w:val="22"/>
        </w:rPr>
      </w:pPr>
      <w:r>
        <w:rPr>
          <w:noProof/>
        </w:rPr>
        <w:drawing>
          <wp:anchor distT="0" distB="0" distL="114300" distR="114300" simplePos="0" relativeHeight="251658242" behindDoc="0" locked="0" layoutInCell="1" allowOverlap="1" wp14:anchorId="76AB5ACF" wp14:editId="033099B4">
            <wp:simplePos x="0" y="0"/>
            <wp:positionH relativeFrom="column">
              <wp:posOffset>291465</wp:posOffset>
            </wp:positionH>
            <wp:positionV relativeFrom="paragraph">
              <wp:posOffset>0</wp:posOffset>
            </wp:positionV>
            <wp:extent cx="2825750" cy="2479040"/>
            <wp:effectExtent l="0" t="0" r="6350" b="0"/>
            <wp:wrapTopAndBottom/>
            <wp:docPr id="1158911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11994" name=""/>
                    <pic:cNvPicPr/>
                  </pic:nvPicPr>
                  <pic:blipFill>
                    <a:blip r:embed="rId7"/>
                    <a:stretch>
                      <a:fillRect/>
                    </a:stretch>
                  </pic:blipFill>
                  <pic:spPr>
                    <a:xfrm>
                      <a:off x="0" y="0"/>
                      <a:ext cx="2825750" cy="2479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0" wp14:anchorId="38E16C80" wp14:editId="3A248D5C">
            <wp:simplePos x="0" y="0"/>
            <wp:positionH relativeFrom="column">
              <wp:posOffset>5804535</wp:posOffset>
            </wp:positionH>
            <wp:positionV relativeFrom="paragraph">
              <wp:posOffset>436245</wp:posOffset>
            </wp:positionV>
            <wp:extent cx="1735455" cy="1552575"/>
            <wp:effectExtent l="0" t="0" r="0" b="0"/>
            <wp:wrapSquare wrapText="bothSides"/>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8"/>
                    <a:stretch>
                      <a:fillRect/>
                    </a:stretch>
                  </pic:blipFill>
                  <pic:spPr>
                    <a:xfrm>
                      <a:off x="0" y="0"/>
                      <a:ext cx="1735455" cy="1552575"/>
                    </a:xfrm>
                    <a:prstGeom prst="rect">
                      <a:avLst/>
                    </a:prstGeom>
                  </pic:spPr>
                </pic:pic>
              </a:graphicData>
            </a:graphic>
          </wp:anchor>
        </w:drawing>
      </w:r>
      <w:r w:rsidR="008C6F3B">
        <w:t xml:space="preserve"> </w:t>
      </w:r>
    </w:p>
    <w:p w14:paraId="32171943" w14:textId="76CDA615" w:rsidR="00884C43" w:rsidRPr="00D55894" w:rsidRDefault="008C6F3B">
      <w:pPr>
        <w:spacing w:after="0"/>
        <w:ind w:right="236"/>
        <w:rPr>
          <w:color w:val="1F3864" w:themeColor="accent1" w:themeShade="80"/>
        </w:rPr>
      </w:pPr>
      <w:r>
        <w:rPr>
          <w:rFonts w:ascii="Arial" w:eastAsia="Arial" w:hAnsi="Arial" w:cs="Arial"/>
          <w:sz w:val="28"/>
        </w:rPr>
        <w:t xml:space="preserve"> </w:t>
      </w:r>
      <w:r w:rsidR="0005044E">
        <w:rPr>
          <w:rFonts w:ascii="Arial" w:eastAsia="Arial" w:hAnsi="Arial" w:cs="Arial"/>
          <w:sz w:val="28"/>
        </w:rPr>
        <w:t xml:space="preserve">                                                        </w:t>
      </w:r>
      <w:r w:rsidR="00D55894" w:rsidRPr="00D55894">
        <w:rPr>
          <w:rFonts w:ascii="Arial" w:eastAsia="Arial" w:hAnsi="Arial" w:cs="Arial"/>
          <w:color w:val="1F3864" w:themeColor="accent1" w:themeShade="80"/>
          <w:sz w:val="28"/>
        </w:rPr>
        <w:t>LICENCIATURA</w:t>
      </w:r>
      <w:r w:rsidR="0005044E" w:rsidRPr="00D55894">
        <w:rPr>
          <w:rFonts w:ascii="Arial" w:eastAsia="Arial" w:hAnsi="Arial" w:cs="Arial"/>
          <w:color w:val="1F3864" w:themeColor="accent1" w:themeShade="80"/>
          <w:sz w:val="28"/>
        </w:rPr>
        <w:t xml:space="preserve"> EN </w:t>
      </w:r>
      <w:r w:rsidR="00D55894" w:rsidRPr="00D55894">
        <w:rPr>
          <w:rFonts w:ascii="Arial" w:eastAsia="Arial" w:hAnsi="Arial" w:cs="Arial"/>
          <w:color w:val="1F3864" w:themeColor="accent1" w:themeShade="80"/>
          <w:sz w:val="28"/>
        </w:rPr>
        <w:t>MEDICINA</w:t>
      </w:r>
      <w:r w:rsidR="0005044E" w:rsidRPr="00D55894">
        <w:rPr>
          <w:rFonts w:ascii="Arial" w:eastAsia="Arial" w:hAnsi="Arial" w:cs="Arial"/>
          <w:color w:val="1F3864" w:themeColor="accent1" w:themeShade="80"/>
          <w:sz w:val="28"/>
        </w:rPr>
        <w:t xml:space="preserve"> HUMANA </w:t>
      </w:r>
    </w:p>
    <w:p w14:paraId="3B30E8C5" w14:textId="77777777" w:rsidR="00884C43" w:rsidRDefault="008C6F3B">
      <w:pPr>
        <w:spacing w:after="0"/>
        <w:ind w:right="236"/>
      </w:pPr>
      <w:r>
        <w:rPr>
          <w:rFonts w:ascii="Arial" w:eastAsia="Arial" w:hAnsi="Arial" w:cs="Arial"/>
          <w:sz w:val="28"/>
        </w:rPr>
        <w:t xml:space="preserve"> </w:t>
      </w:r>
    </w:p>
    <w:p w14:paraId="5E5EA7B4" w14:textId="77777777" w:rsidR="00884C43" w:rsidRDefault="008C6F3B">
      <w:pPr>
        <w:spacing w:after="2"/>
        <w:ind w:right="236"/>
      </w:pPr>
      <w:r>
        <w:rPr>
          <w:rFonts w:ascii="Arial" w:eastAsia="Arial" w:hAnsi="Arial" w:cs="Arial"/>
          <w:sz w:val="28"/>
        </w:rPr>
        <w:t xml:space="preserve"> </w:t>
      </w:r>
    </w:p>
    <w:p w14:paraId="705491EF" w14:textId="77777777" w:rsidR="00884C43" w:rsidRDefault="008C6F3B">
      <w:pPr>
        <w:spacing w:after="0"/>
      </w:pPr>
      <w:r>
        <w:rPr>
          <w:rFonts w:ascii="Arial" w:eastAsia="Arial" w:hAnsi="Arial" w:cs="Arial"/>
          <w:sz w:val="28"/>
        </w:rPr>
        <w:t xml:space="preserve"> </w:t>
      </w:r>
    </w:p>
    <w:p w14:paraId="776F6D17" w14:textId="77777777" w:rsidR="00884C43" w:rsidRDefault="008C6F3B">
      <w:pPr>
        <w:spacing w:after="2"/>
      </w:pPr>
      <w:r>
        <w:rPr>
          <w:rFonts w:ascii="Arial" w:eastAsia="Arial" w:hAnsi="Arial" w:cs="Arial"/>
          <w:sz w:val="28"/>
        </w:rPr>
        <w:t xml:space="preserve"> </w:t>
      </w:r>
    </w:p>
    <w:p w14:paraId="08B90185" w14:textId="2A191CC7" w:rsidR="00884C43" w:rsidRDefault="00803A0B">
      <w:pPr>
        <w:spacing w:after="1"/>
        <w:ind w:left="-5" w:hanging="10"/>
      </w:pPr>
      <w:r>
        <w:rPr>
          <w:rFonts w:ascii="Arial" w:eastAsia="Arial" w:hAnsi="Arial" w:cs="Arial"/>
          <w:sz w:val="28"/>
        </w:rPr>
        <w:t>DRA. Ci</w:t>
      </w:r>
      <w:r w:rsidR="00C35A7F">
        <w:rPr>
          <w:rFonts w:ascii="Arial" w:eastAsia="Arial" w:hAnsi="Arial" w:cs="Arial"/>
          <w:sz w:val="28"/>
        </w:rPr>
        <w:t>tlali Berenice</w:t>
      </w:r>
      <w:r w:rsidR="003571D6">
        <w:rPr>
          <w:rFonts w:ascii="Arial" w:eastAsia="Arial" w:hAnsi="Arial" w:cs="Arial"/>
          <w:sz w:val="28"/>
        </w:rPr>
        <w:t xml:space="preserve"> Fernández Solís </w:t>
      </w:r>
    </w:p>
    <w:p w14:paraId="3C7C1007" w14:textId="77777777" w:rsidR="00884C43" w:rsidRDefault="008C6F3B">
      <w:pPr>
        <w:spacing w:after="2"/>
      </w:pPr>
      <w:r>
        <w:rPr>
          <w:rFonts w:ascii="Arial" w:eastAsia="Arial" w:hAnsi="Arial" w:cs="Arial"/>
          <w:sz w:val="28"/>
        </w:rPr>
        <w:t xml:space="preserve"> </w:t>
      </w:r>
    </w:p>
    <w:p w14:paraId="7E7FA5AB" w14:textId="77777777" w:rsidR="00884C43" w:rsidRDefault="008C6F3B">
      <w:pPr>
        <w:spacing w:after="0"/>
      </w:pPr>
      <w:r>
        <w:rPr>
          <w:rFonts w:ascii="Arial" w:eastAsia="Arial" w:hAnsi="Arial" w:cs="Arial"/>
          <w:sz w:val="28"/>
        </w:rPr>
        <w:t xml:space="preserve"> </w:t>
      </w:r>
    </w:p>
    <w:p w14:paraId="02039C1E" w14:textId="77777777" w:rsidR="00884C43" w:rsidRDefault="008C6F3B">
      <w:pPr>
        <w:spacing w:after="2"/>
      </w:pPr>
      <w:r>
        <w:rPr>
          <w:rFonts w:ascii="Arial" w:eastAsia="Arial" w:hAnsi="Arial" w:cs="Arial"/>
          <w:sz w:val="28"/>
        </w:rPr>
        <w:t xml:space="preserve"> </w:t>
      </w:r>
    </w:p>
    <w:p w14:paraId="5F88DC46" w14:textId="77777777" w:rsidR="00884C43" w:rsidRDefault="008C6F3B">
      <w:pPr>
        <w:spacing w:after="1"/>
        <w:ind w:left="-5" w:hanging="10"/>
      </w:pPr>
      <w:r>
        <w:rPr>
          <w:rFonts w:ascii="Arial" w:eastAsia="Arial" w:hAnsi="Arial" w:cs="Arial"/>
          <w:sz w:val="28"/>
        </w:rPr>
        <w:t xml:space="preserve">Arturo Rodríguez Ramos  </w:t>
      </w:r>
    </w:p>
    <w:p w14:paraId="20775E2C" w14:textId="77777777" w:rsidR="00884C43" w:rsidRDefault="008C6F3B">
      <w:pPr>
        <w:spacing w:after="2"/>
      </w:pPr>
      <w:r>
        <w:rPr>
          <w:rFonts w:ascii="Arial" w:eastAsia="Arial" w:hAnsi="Arial" w:cs="Arial"/>
          <w:sz w:val="28"/>
        </w:rPr>
        <w:t xml:space="preserve"> </w:t>
      </w:r>
    </w:p>
    <w:p w14:paraId="1E648851" w14:textId="77777777" w:rsidR="00884C43" w:rsidRDefault="008C6F3B">
      <w:pPr>
        <w:spacing w:after="0"/>
      </w:pPr>
      <w:r>
        <w:rPr>
          <w:rFonts w:ascii="Arial" w:eastAsia="Arial" w:hAnsi="Arial" w:cs="Arial"/>
          <w:sz w:val="28"/>
        </w:rPr>
        <w:t xml:space="preserve"> </w:t>
      </w:r>
    </w:p>
    <w:p w14:paraId="11CE4619" w14:textId="77777777" w:rsidR="00884C43" w:rsidRDefault="008C6F3B">
      <w:pPr>
        <w:spacing w:after="3"/>
      </w:pPr>
      <w:r>
        <w:rPr>
          <w:rFonts w:ascii="Arial" w:eastAsia="Arial" w:hAnsi="Arial" w:cs="Arial"/>
          <w:sz w:val="28"/>
        </w:rPr>
        <w:t xml:space="preserve"> </w:t>
      </w:r>
    </w:p>
    <w:p w14:paraId="3163E92D" w14:textId="7F4D9BA3" w:rsidR="00884C43" w:rsidRDefault="008A0AAD">
      <w:pPr>
        <w:spacing w:after="1"/>
        <w:ind w:left="-5" w:hanging="10"/>
      </w:pPr>
      <w:r>
        <w:rPr>
          <w:rFonts w:ascii="Arial" w:eastAsia="Arial" w:hAnsi="Arial" w:cs="Arial"/>
          <w:sz w:val="28"/>
        </w:rPr>
        <w:t>Ensayo</w:t>
      </w:r>
      <w:r w:rsidR="00EA0154">
        <w:rPr>
          <w:rFonts w:ascii="Arial" w:eastAsia="Arial" w:hAnsi="Arial" w:cs="Arial"/>
          <w:sz w:val="28"/>
        </w:rPr>
        <w:t xml:space="preserve"> </w:t>
      </w:r>
    </w:p>
    <w:p w14:paraId="60F530BF" w14:textId="77777777" w:rsidR="00884C43" w:rsidRDefault="008C6F3B">
      <w:pPr>
        <w:spacing w:after="2"/>
      </w:pPr>
      <w:r>
        <w:rPr>
          <w:noProof/>
        </w:rPr>
        <mc:AlternateContent>
          <mc:Choice Requires="wpg">
            <w:drawing>
              <wp:anchor distT="0" distB="0" distL="114300" distR="114300" simplePos="0" relativeHeight="251658241" behindDoc="0" locked="0" layoutInCell="1" allowOverlap="1" wp14:anchorId="61D461B2" wp14:editId="2BB4DEB4">
                <wp:simplePos x="0" y="0"/>
                <wp:positionH relativeFrom="page">
                  <wp:posOffset>0</wp:posOffset>
                </wp:positionH>
                <wp:positionV relativeFrom="page">
                  <wp:posOffset>9062720</wp:posOffset>
                </wp:positionV>
                <wp:extent cx="7743190" cy="427990"/>
                <wp:effectExtent l="0" t="0" r="0" b="0"/>
                <wp:wrapTopAndBottom/>
                <wp:docPr id="807" name="Group 807"/>
                <wp:cNvGraphicFramePr/>
                <a:graphic xmlns:a="http://schemas.openxmlformats.org/drawingml/2006/main">
                  <a:graphicData uri="http://schemas.microsoft.com/office/word/2010/wordprocessingGroup">
                    <wpg:wgp>
                      <wpg:cNvGrpSpPr/>
                      <wpg:grpSpPr>
                        <a:xfrm>
                          <a:off x="0" y="0"/>
                          <a:ext cx="7743190" cy="427990"/>
                          <a:chOff x="0" y="0"/>
                          <a:chExt cx="7743190" cy="427990"/>
                        </a:xfrm>
                      </wpg:grpSpPr>
                      <wps:wsp>
                        <wps:cNvPr id="1057" name="Shape 1057"/>
                        <wps:cNvSpPr/>
                        <wps:spPr>
                          <a:xfrm>
                            <a:off x="0" y="0"/>
                            <a:ext cx="7743190" cy="427990"/>
                          </a:xfrm>
                          <a:custGeom>
                            <a:avLst/>
                            <a:gdLst/>
                            <a:ahLst/>
                            <a:cxnLst/>
                            <a:rect l="0" t="0" r="0" b="0"/>
                            <a:pathLst>
                              <a:path w="7743190" h="427990">
                                <a:moveTo>
                                  <a:pt x="0" y="0"/>
                                </a:moveTo>
                                <a:lnTo>
                                  <a:pt x="7743190" y="0"/>
                                </a:lnTo>
                                <a:lnTo>
                                  <a:pt x="7743190" y="427990"/>
                                </a:lnTo>
                                <a:lnTo>
                                  <a:pt x="0" y="42799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241" name="Shape 241"/>
                        <wps:cNvSpPr/>
                        <wps:spPr>
                          <a:xfrm>
                            <a:off x="0" y="0"/>
                            <a:ext cx="7743190" cy="427990"/>
                          </a:xfrm>
                          <a:custGeom>
                            <a:avLst/>
                            <a:gdLst/>
                            <a:ahLst/>
                            <a:cxnLst/>
                            <a:rect l="0" t="0" r="0" b="0"/>
                            <a:pathLst>
                              <a:path w="7743190" h="427990">
                                <a:moveTo>
                                  <a:pt x="0" y="427990"/>
                                </a:moveTo>
                                <a:lnTo>
                                  <a:pt x="7743190" y="427990"/>
                                </a:lnTo>
                                <a:lnTo>
                                  <a:pt x="7743190"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7" style="width:609.7pt;height:33.7pt;position:absolute;mso-position-horizontal-relative:page;mso-position-horizontal:absolute;margin-left:0pt;mso-position-vertical-relative:page;margin-top:713.6pt;" coordsize="77431,4279">
                <v:shape id="Shape 1058" style="position:absolute;width:77431;height:4279;left:0;top:0;" coordsize="7743190,427990" path="m0,0l7743190,0l7743190,427990l0,427990l0,0">
                  <v:stroke weight="0pt" endcap="flat" joinstyle="miter" miterlimit="10" on="false" color="#000000" opacity="0"/>
                  <v:fill on="true" color="#1f4e79"/>
                </v:shape>
                <v:shape id="Shape 241" style="position:absolute;width:77431;height:4279;left:0;top:0;" coordsize="7743190,427990" path="m0,427990l7743190,427990l7743190,0l0,0x">
                  <v:stroke weight="0.96pt" endcap="flat" joinstyle="miter" miterlimit="10" on="true" color="#2f528f"/>
                  <v:fill on="false" color="#000000" opacity="0"/>
                </v:shape>
                <w10:wrap type="topAndBottom"/>
              </v:group>
            </w:pict>
          </mc:Fallback>
        </mc:AlternateContent>
      </w:r>
      <w:r>
        <w:rPr>
          <w:rFonts w:ascii="Arial" w:eastAsia="Arial" w:hAnsi="Arial" w:cs="Arial"/>
          <w:sz w:val="28"/>
        </w:rPr>
        <w:t xml:space="preserve"> </w:t>
      </w:r>
    </w:p>
    <w:p w14:paraId="395C0194" w14:textId="77777777" w:rsidR="00884C43" w:rsidRDefault="008C6F3B">
      <w:pPr>
        <w:spacing w:after="0"/>
      </w:pPr>
      <w:r>
        <w:rPr>
          <w:rFonts w:ascii="Arial" w:eastAsia="Arial" w:hAnsi="Arial" w:cs="Arial"/>
          <w:sz w:val="28"/>
        </w:rPr>
        <w:t xml:space="preserve"> </w:t>
      </w:r>
    </w:p>
    <w:p w14:paraId="19B55DB7" w14:textId="77777777" w:rsidR="00884C43" w:rsidRDefault="008C6F3B">
      <w:pPr>
        <w:spacing w:after="3"/>
      </w:pPr>
      <w:r>
        <w:rPr>
          <w:rFonts w:ascii="Arial" w:eastAsia="Arial" w:hAnsi="Arial" w:cs="Arial"/>
          <w:sz w:val="28"/>
        </w:rPr>
        <w:t xml:space="preserve"> </w:t>
      </w:r>
    </w:p>
    <w:p w14:paraId="5DD8EBE0" w14:textId="6ECAF722" w:rsidR="00884C43" w:rsidRDefault="007233F2">
      <w:pPr>
        <w:spacing w:after="1"/>
        <w:ind w:left="-5" w:hanging="10"/>
      </w:pPr>
      <w:r>
        <w:rPr>
          <w:rFonts w:ascii="Arial" w:eastAsia="Arial" w:hAnsi="Arial" w:cs="Arial"/>
          <w:sz w:val="28"/>
        </w:rPr>
        <w:t xml:space="preserve">Análisis de decision en la clínica </w:t>
      </w:r>
    </w:p>
    <w:p w14:paraId="65DDEBA1" w14:textId="77777777" w:rsidR="00884C43" w:rsidRDefault="008C6F3B">
      <w:pPr>
        <w:spacing w:after="2"/>
      </w:pPr>
      <w:r>
        <w:rPr>
          <w:rFonts w:ascii="Arial" w:eastAsia="Arial" w:hAnsi="Arial" w:cs="Arial"/>
          <w:sz w:val="28"/>
        </w:rPr>
        <w:t xml:space="preserve"> </w:t>
      </w:r>
    </w:p>
    <w:p w14:paraId="0DA577FA" w14:textId="77777777" w:rsidR="00884C43" w:rsidRDefault="008C6F3B">
      <w:pPr>
        <w:spacing w:after="0"/>
      </w:pPr>
      <w:r>
        <w:rPr>
          <w:rFonts w:ascii="Arial" w:eastAsia="Arial" w:hAnsi="Arial" w:cs="Arial"/>
          <w:sz w:val="28"/>
        </w:rPr>
        <w:t xml:space="preserve"> </w:t>
      </w:r>
    </w:p>
    <w:p w14:paraId="1FF8684C" w14:textId="77777777" w:rsidR="00884C43" w:rsidRDefault="008C6F3B">
      <w:pPr>
        <w:spacing w:after="2"/>
      </w:pPr>
      <w:r>
        <w:rPr>
          <w:rFonts w:ascii="Arial" w:eastAsia="Arial" w:hAnsi="Arial" w:cs="Arial"/>
          <w:sz w:val="28"/>
        </w:rPr>
        <w:t xml:space="preserve"> </w:t>
      </w:r>
    </w:p>
    <w:p w14:paraId="17C5E11C" w14:textId="77777777" w:rsidR="00884C43" w:rsidRDefault="008C6F3B">
      <w:pPr>
        <w:spacing w:after="0"/>
      </w:pPr>
      <w:r>
        <w:rPr>
          <w:rFonts w:ascii="Arial" w:eastAsia="Arial" w:hAnsi="Arial" w:cs="Arial"/>
          <w:sz w:val="28"/>
        </w:rPr>
        <w:t xml:space="preserve"> </w:t>
      </w:r>
    </w:p>
    <w:p w14:paraId="1D59BD2D" w14:textId="77777777" w:rsidR="00884C43" w:rsidRDefault="008C6F3B">
      <w:pPr>
        <w:spacing w:after="1"/>
        <w:ind w:left="-5" w:hanging="10"/>
      </w:pPr>
      <w:r>
        <w:rPr>
          <w:rFonts w:ascii="Arial" w:eastAsia="Arial" w:hAnsi="Arial" w:cs="Arial"/>
          <w:sz w:val="28"/>
        </w:rPr>
        <w:t xml:space="preserve">8-"A” </w:t>
      </w:r>
    </w:p>
    <w:p w14:paraId="16BB1E33" w14:textId="77777777" w:rsidR="00884C43" w:rsidRDefault="008C6F3B">
      <w:pPr>
        <w:spacing w:after="0"/>
      </w:pPr>
      <w:r>
        <w:rPr>
          <w:rFonts w:ascii="Arial" w:eastAsia="Arial" w:hAnsi="Arial" w:cs="Arial"/>
          <w:sz w:val="28"/>
        </w:rPr>
        <w:t xml:space="preserve"> </w:t>
      </w:r>
    </w:p>
    <w:p w14:paraId="23823C82" w14:textId="77777777" w:rsidR="00884C43" w:rsidRDefault="008C6F3B">
      <w:pPr>
        <w:spacing w:after="2"/>
      </w:pPr>
      <w:r>
        <w:rPr>
          <w:rFonts w:ascii="Arial" w:eastAsia="Arial" w:hAnsi="Arial" w:cs="Arial"/>
          <w:sz w:val="28"/>
        </w:rPr>
        <w:t xml:space="preserve"> </w:t>
      </w:r>
    </w:p>
    <w:p w14:paraId="5658009F" w14:textId="77777777" w:rsidR="00884C43" w:rsidRDefault="008C6F3B">
      <w:pPr>
        <w:spacing w:after="0"/>
      </w:pPr>
      <w:r>
        <w:rPr>
          <w:rFonts w:ascii="Arial" w:eastAsia="Arial" w:hAnsi="Arial" w:cs="Arial"/>
          <w:sz w:val="28"/>
        </w:rPr>
        <w:t xml:space="preserve"> </w:t>
      </w:r>
    </w:p>
    <w:p w14:paraId="091CB2D9" w14:textId="3BC5A552" w:rsidR="00884C43" w:rsidRDefault="008C6F3B">
      <w:pPr>
        <w:spacing w:after="1"/>
        <w:ind w:left="-5" w:hanging="10"/>
      </w:pPr>
      <w:r>
        <w:rPr>
          <w:rFonts w:ascii="Arial" w:eastAsia="Arial" w:hAnsi="Arial" w:cs="Arial"/>
          <w:sz w:val="28"/>
        </w:rPr>
        <w:t xml:space="preserve">                                                                       Comitán Chiapas a </w:t>
      </w:r>
      <w:r w:rsidR="007233F2">
        <w:rPr>
          <w:rFonts w:ascii="Arial" w:eastAsia="Arial" w:hAnsi="Arial" w:cs="Arial"/>
          <w:sz w:val="28"/>
        </w:rPr>
        <w:t>8</w:t>
      </w:r>
      <w:r w:rsidR="008A0AAD">
        <w:rPr>
          <w:rFonts w:ascii="Arial" w:eastAsia="Arial" w:hAnsi="Arial" w:cs="Arial"/>
          <w:sz w:val="28"/>
        </w:rPr>
        <w:t xml:space="preserve"> </w:t>
      </w:r>
      <w:r>
        <w:rPr>
          <w:rFonts w:ascii="Arial" w:eastAsia="Arial" w:hAnsi="Arial" w:cs="Arial"/>
          <w:sz w:val="28"/>
        </w:rPr>
        <w:t>de septiembre del 2025</w:t>
      </w:r>
      <w:r>
        <w:rPr>
          <w:rFonts w:ascii="Arial" w:eastAsia="Arial" w:hAnsi="Arial" w:cs="Arial"/>
          <w:sz w:val="24"/>
        </w:rPr>
        <w:t xml:space="preserve"> </w:t>
      </w:r>
    </w:p>
    <w:p w14:paraId="2D05F591" w14:textId="77777777" w:rsidR="00884C43" w:rsidRDefault="008C6F3B">
      <w:pPr>
        <w:spacing w:after="0"/>
        <w:ind w:left="15"/>
      </w:pPr>
      <w:r>
        <w:rPr>
          <w:rFonts w:ascii="Arial" w:eastAsia="Arial" w:hAnsi="Arial" w:cs="Arial"/>
          <w:sz w:val="28"/>
        </w:rPr>
        <w:t xml:space="preserve"> </w:t>
      </w:r>
      <w:r>
        <w:rPr>
          <w:rFonts w:ascii="Arial" w:eastAsia="Arial" w:hAnsi="Arial" w:cs="Arial"/>
          <w:sz w:val="24"/>
        </w:rPr>
        <w:t xml:space="preserve"> </w:t>
      </w:r>
    </w:p>
    <w:p w14:paraId="58AA8122" w14:textId="77777777" w:rsidR="00884C43" w:rsidRDefault="008C6F3B">
      <w:pPr>
        <w:spacing w:after="0"/>
        <w:ind w:right="-28"/>
        <w:jc w:val="right"/>
      </w:pPr>
      <w:r>
        <w:rPr>
          <w:rFonts w:ascii="Arial" w:eastAsia="Arial" w:hAnsi="Arial" w:cs="Arial"/>
          <w:sz w:val="28"/>
        </w:rPr>
        <w:t xml:space="preserve">   </w:t>
      </w:r>
    </w:p>
    <w:p w14:paraId="2028DDCE" w14:textId="77777777" w:rsidR="00884C43" w:rsidRDefault="008C6F3B">
      <w:pPr>
        <w:spacing w:after="0"/>
        <w:ind w:right="-17"/>
        <w:jc w:val="right"/>
      </w:pPr>
      <w:r>
        <w:rPr>
          <w:rFonts w:ascii="Arial" w:eastAsia="Arial" w:hAnsi="Arial" w:cs="Arial"/>
          <w:sz w:val="28"/>
        </w:rPr>
        <w:t xml:space="preserve"> </w:t>
      </w:r>
      <w:r>
        <w:rPr>
          <w:rFonts w:ascii="Arial" w:eastAsia="Arial" w:hAnsi="Arial" w:cs="Arial"/>
          <w:sz w:val="24"/>
        </w:rPr>
        <w:t xml:space="preserve"> </w:t>
      </w:r>
    </w:p>
    <w:p w14:paraId="1A66A089" w14:textId="77777777" w:rsidR="00E944F2" w:rsidRPr="00130922" w:rsidRDefault="00E944F2" w:rsidP="00BA4052">
      <w:pPr>
        <w:pStyle w:val="s2"/>
        <w:spacing w:before="0" w:beforeAutospacing="0" w:after="120" w:afterAutospacing="0"/>
        <w:jc w:val="center"/>
        <w:divId w:val="209346483"/>
        <w:rPr>
          <w:rFonts w:ascii="Arial" w:hAnsi="Arial" w:cs="Arial"/>
          <w:color w:val="000000"/>
        </w:rPr>
      </w:pPr>
      <w:r w:rsidRPr="00130922">
        <w:rPr>
          <w:rFonts w:ascii="Arial" w:hAnsi="Arial" w:cs="Arial"/>
          <w:color w:val="000000"/>
        </w:rPr>
        <w:lastRenderedPageBreak/>
        <w:t>Conceptos básicos de toma de decisiones clínicas</w:t>
      </w:r>
    </w:p>
    <w:p w14:paraId="6E295FF7" w14:textId="77777777"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 </w:t>
      </w:r>
    </w:p>
    <w:p w14:paraId="510B7238" w14:textId="55800F5D" w:rsidR="00BA4052" w:rsidRPr="0098715D" w:rsidRDefault="00E944F2" w:rsidP="0098715D">
      <w:pPr>
        <w:pStyle w:val="s2"/>
        <w:spacing w:before="0" w:beforeAutospacing="0" w:after="120" w:afterAutospacing="0"/>
        <w:jc w:val="both"/>
        <w:divId w:val="209346483"/>
        <w:rPr>
          <w:rFonts w:ascii="Arial" w:hAnsi="Arial" w:cs="Arial"/>
          <w:color w:val="000000"/>
        </w:rPr>
      </w:pPr>
      <w:r w:rsidRPr="004F488A">
        <w:rPr>
          <w:rFonts w:ascii="Arial" w:hAnsi="Arial" w:cs="Arial"/>
          <w:color w:val="000000"/>
        </w:rPr>
        <w:t xml:space="preserve">La toma de decisiones clínicas es un proceso fundamental en el ámbito de la salud, que involucra decisiones informadas y fundamentadas por parte de los profesionales médicos. Este ensayo tiene como propósito explorar los conceptos básicos que rigen esta práctica, así como su importancia en la atención al paciente. Se abordarán aspectos relacionados con el proceso de toma de decisiones, la influencia de la evidencia científica, las dinámicas </w:t>
      </w:r>
      <w:r w:rsidR="002F40C0">
        <w:rPr>
          <w:rFonts w:ascii="Arial" w:hAnsi="Arial" w:cs="Arial"/>
          <w:color w:val="000000"/>
        </w:rPr>
        <w:t xml:space="preserve">de </w:t>
      </w:r>
      <w:r w:rsidRPr="004F488A">
        <w:rPr>
          <w:rFonts w:ascii="Arial" w:hAnsi="Arial" w:cs="Arial"/>
          <w:color w:val="000000"/>
        </w:rPr>
        <w:t>interpersonales en el cuidado de la salud, y se ofrecerán ejemplos relevantes que reflejan las tendencias recientes en este ámbito</w:t>
      </w:r>
      <w:r w:rsidR="006F7969" w:rsidRPr="004F488A">
        <w:rPr>
          <w:rFonts w:ascii="Arial" w:hAnsi="Arial" w:cs="Arial"/>
          <w:color w:val="000000"/>
        </w:rPr>
        <w:t xml:space="preserve">, la </w:t>
      </w:r>
      <w:r w:rsidRPr="004F488A">
        <w:rPr>
          <w:rFonts w:ascii="Arial" w:hAnsi="Arial" w:cs="Arial"/>
          <w:color w:val="000000"/>
        </w:rPr>
        <w:t>toma de decisiones clínicas se fundamenta en un enfoque orientado hacia el paciente, donde se busca balancear la evidencia científica con la experiencia del profesional y las preferencias del paciente. Este proceso no es unilateral, sino que implica una interacción constante entre el médico y el paciente. De este modo, la comunicación efectiva se vuelve un pilar esencial, pues permite que el paciente participe activamente en su atención sanitaria</w:t>
      </w:r>
      <w:r w:rsidR="006F7969" w:rsidRPr="004F488A">
        <w:rPr>
          <w:rFonts w:ascii="Arial" w:hAnsi="Arial" w:cs="Arial"/>
          <w:color w:val="000000"/>
        </w:rPr>
        <w:t>, uno</w:t>
      </w:r>
      <w:r w:rsidRPr="004F488A">
        <w:rPr>
          <w:rFonts w:ascii="Arial" w:hAnsi="Arial" w:cs="Arial"/>
          <w:color w:val="000000"/>
        </w:rPr>
        <w:t xml:space="preserve"> de los aspectos más importantes en la toma de decisiones clínicas es la evaluación de la evidencia científica. En las últimas décadas, ha habido un aumento significativo en la disponibilidad de datos y estudios, lo que ha permitido a los médicos fundamentar sus decisiones en hallazgos empíricos. La medicina basada en la evidencia (MBE) es un concepto que ha cobrado notoriedad, ya que promueve el uso sistemático de la mejor evidencia disponible en la toma de decisiones clínicas. Este enfoque no solo mejora la calidad de la atención, sino que también fomenta la transparencia y la responsabilidad en el ejercicio profesional.</w:t>
      </w:r>
      <w:r w:rsidRPr="004F488A">
        <w:rPr>
          <w:rStyle w:val="apple-converted-space"/>
          <w:rFonts w:ascii="Arial" w:hAnsi="Arial" w:cs="Arial"/>
        </w:rPr>
        <w:t> </w:t>
      </w:r>
      <w:r w:rsidR="004842A1" w:rsidRPr="004F488A">
        <w:rPr>
          <w:rFonts w:ascii="Arial" w:hAnsi="Arial" w:cs="Arial"/>
          <w:color w:val="000000"/>
        </w:rPr>
        <w:t xml:space="preserve"> </w:t>
      </w:r>
      <w:r w:rsidRPr="004F488A">
        <w:rPr>
          <w:rFonts w:ascii="Arial" w:hAnsi="Arial" w:cs="Arial"/>
          <w:color w:val="000000"/>
        </w:rPr>
        <w:t>Además de la evidencia científica, otro factor clave en este proceso es la experiencia clínica del profesional. Cada médico trae consigo un conjunto único de conocimientos y habilidades adquiridas a lo largo de su formación y práctica. Esta experiencia es determinante para autoevaluar situaciones complejas y tomar decisiones en situaciones de incertidumbre. Sin embargo, se debe tener en cuenta que la experiencia por sí sola no es suficiente, y es necesario complementar este conocimiento con datos actualizados y relevantes</w:t>
      </w:r>
      <w:r w:rsidR="004842A1" w:rsidRPr="004F488A">
        <w:rPr>
          <w:rFonts w:ascii="Arial" w:hAnsi="Arial" w:cs="Arial"/>
          <w:color w:val="000000"/>
        </w:rPr>
        <w:t xml:space="preserve">, las </w:t>
      </w:r>
      <w:r w:rsidRPr="004F488A">
        <w:rPr>
          <w:rFonts w:ascii="Arial" w:hAnsi="Arial" w:cs="Arial"/>
          <w:color w:val="000000"/>
        </w:rPr>
        <w:t xml:space="preserve"> preferencias y valores del paciente también son esenciales en la toma de decisiones clínicas. Un enfoque centrado en el paciente promueve que los profesionales de la salud consideran las necesidades y deseos individuales de cada paciente. Al hacerlo, se fortalece la relación médico-paciente y se potencia el compromiso del paciente en su propio cuidado. Las preferencias pueden variar enormemente, y es responsabilidad del médico escuchar y valorar estas diferencias para llegar a un consenso que sea satisfactorio para ambas partes</w:t>
      </w:r>
      <w:r w:rsidR="004842A1" w:rsidRPr="004F488A">
        <w:rPr>
          <w:rFonts w:ascii="Arial" w:hAnsi="Arial" w:cs="Arial"/>
          <w:color w:val="000000"/>
        </w:rPr>
        <w:t xml:space="preserve">, la </w:t>
      </w:r>
      <w:r w:rsidRPr="004F488A">
        <w:rPr>
          <w:rFonts w:ascii="Arial" w:hAnsi="Arial" w:cs="Arial"/>
          <w:color w:val="000000"/>
        </w:rPr>
        <w:t>práctica clínica también se ve influenciada por el contexto social y cultural en el que se encuentra el paciente. Las creencias culturales, las normas sociales y el entorno económico pueden impactar las decisiones de salud y dar forma a la experiencia del paciente. Por ende, los profesionales de la salud deben estar fuertemente conectados con el contexto de sus pacientes para asegurar que las decisiones tomadas sean pertinentes y respetuosas</w:t>
      </w:r>
      <w:r w:rsidR="004842A1" w:rsidRPr="004F488A">
        <w:rPr>
          <w:rFonts w:ascii="Arial" w:hAnsi="Arial" w:cs="Arial"/>
          <w:color w:val="000000"/>
        </w:rPr>
        <w:t>, en</w:t>
      </w:r>
      <w:r w:rsidRPr="004F488A">
        <w:rPr>
          <w:rFonts w:ascii="Arial" w:hAnsi="Arial" w:cs="Arial"/>
          <w:color w:val="000000"/>
        </w:rPr>
        <w:t xml:space="preserve"> los últimos años, la digitalización ha introducido un cambio significativo en la manera en que se toman decisiones clínicas</w:t>
      </w:r>
      <w:r w:rsidR="00BA4052" w:rsidRPr="004F488A">
        <w:rPr>
          <w:rFonts w:ascii="Arial" w:hAnsi="Arial" w:cs="Arial"/>
          <w:color w:val="000000"/>
        </w:rPr>
        <w:t xml:space="preserve">, la </w:t>
      </w:r>
      <w:r w:rsidRPr="004F488A">
        <w:rPr>
          <w:rFonts w:ascii="Arial" w:hAnsi="Arial" w:cs="Arial"/>
          <w:color w:val="000000"/>
        </w:rPr>
        <w:t>disponibilidad de herramientas tecnológicas, aplicaciones de salud y plataformas de información ha permitido a los médicos acceder a datos relevantes de manera más rápida y eficiente. Sin embargo, esto también plantea desafíos en cuanto a la sobrecarga de información y la interpretación de datos</w:t>
      </w:r>
      <w:r w:rsidR="004842A1" w:rsidRPr="004F488A">
        <w:rPr>
          <w:rFonts w:ascii="Arial" w:hAnsi="Arial" w:cs="Arial"/>
          <w:color w:val="000000"/>
        </w:rPr>
        <w:t>, la</w:t>
      </w:r>
      <w:r w:rsidRPr="004F488A">
        <w:rPr>
          <w:rFonts w:ascii="Arial" w:hAnsi="Arial" w:cs="Arial"/>
          <w:color w:val="000000"/>
        </w:rPr>
        <w:t xml:space="preserve"> comunicación entre el paciente y el médico se ha transformado, permitiendo un acceso más ágil a la información, pero también exigiendo habilidades adicionales en términos de manejo de datos</w:t>
      </w:r>
      <w:r w:rsidR="004842A1" w:rsidRPr="004F488A">
        <w:rPr>
          <w:rFonts w:ascii="Arial" w:hAnsi="Arial" w:cs="Arial"/>
          <w:color w:val="000000"/>
        </w:rPr>
        <w:t>, la</w:t>
      </w:r>
      <w:r w:rsidRPr="004F488A">
        <w:rPr>
          <w:rFonts w:ascii="Arial" w:hAnsi="Arial" w:cs="Arial"/>
          <w:color w:val="000000"/>
        </w:rPr>
        <w:t>toma de decisiones clínicas no está exenta de retos. En ocasiones, los profesionales pueden enfrentar dilemas éticos, especialmente en situaciones donde hay múltiples opciones de tratamiento disponibles, cada una con sus propios riesgos y beneficios. Tomar decisiones en estos contextos requiere un enfoque cuidadoso y reflexivo, que considere las repercusiones a corto y largo plazo para el paciente. También es crucial que los médicos se mantengan informados sobre los estándares éticos y los principios que guían la práctica médica</w:t>
      </w:r>
      <w:r w:rsidR="00BA4052" w:rsidRPr="004F488A">
        <w:rPr>
          <w:rFonts w:ascii="Arial" w:hAnsi="Arial" w:cs="Arial"/>
          <w:color w:val="000000"/>
        </w:rPr>
        <w:t xml:space="preserve">, a </w:t>
      </w:r>
      <w:r w:rsidRPr="004F488A">
        <w:rPr>
          <w:rFonts w:ascii="Arial" w:hAnsi="Arial" w:cs="Arial"/>
          <w:color w:val="000000"/>
        </w:rPr>
        <w:t>medida que evolucionan las prácticas médicas y la tecnología, es probable que la toma de decisiones clínicas continúe transformándose. En el futuro, se anticipa un mayor aprovechamiento de la inteligencia artificial y el análisis de datos para apoyar a los médicos en su proceso de decisión. Sin embargo, siempre será esencial mantener el enfoque humano en la atención al paciente. La relación médico-paciente y la comunicación efectiva seguirán siendo fundamentales para el éxito en la toma de decisiones clínicas</w:t>
      </w:r>
      <w:r w:rsidR="00BA4052" w:rsidRPr="004F488A">
        <w:rPr>
          <w:rFonts w:ascii="Arial" w:hAnsi="Arial" w:cs="Arial"/>
          <w:color w:val="000000"/>
        </w:rPr>
        <w:t xml:space="preserve">, este </w:t>
      </w:r>
      <w:r w:rsidRPr="004F488A">
        <w:rPr>
          <w:rFonts w:ascii="Arial" w:hAnsi="Arial" w:cs="Arial"/>
          <w:color w:val="000000"/>
        </w:rPr>
        <w:t xml:space="preserve"> proceso debe basarse en la ética, la comunicación efectiva y una comprensión profunda del contexto en el que se encuentra el paciente. Al abordar estos aspectos, los profesionales de la salud pueden tomar decisiones más informadas y adecuadas, lo que a su vez mejora la calidad de la atención y los resultados de salud. Como futuro profesional de la salud, es fundamental mantener estos principios en práctica y fomentar una relación de confianza y respeto con los pacientes</w:t>
      </w:r>
      <w:r w:rsidR="0098715D">
        <w:rPr>
          <w:rFonts w:ascii="Arial" w:hAnsi="Arial" w:cs="Arial"/>
          <w:color w:val="000000"/>
        </w:rPr>
        <w:t>.</w:t>
      </w:r>
    </w:p>
    <w:p w14:paraId="3E704A5D" w14:textId="77777777" w:rsidR="00BA4052" w:rsidRDefault="00BA4052">
      <w:pPr>
        <w:pStyle w:val="s2"/>
        <w:spacing w:before="0" w:beforeAutospacing="0" w:after="120" w:afterAutospacing="0"/>
        <w:divId w:val="209346483"/>
        <w:rPr>
          <w:rFonts w:ascii="-webkit-standard" w:hAnsi="-webkit-standard"/>
          <w:color w:val="000000"/>
          <w:sz w:val="27"/>
          <w:szCs w:val="27"/>
        </w:rPr>
      </w:pPr>
    </w:p>
    <w:p w14:paraId="69EB6C58" w14:textId="0BE48F06"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Referencias</w:t>
      </w:r>
    </w:p>
    <w:p w14:paraId="07A85CF7" w14:textId="77777777"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 </w:t>
      </w:r>
    </w:p>
    <w:p w14:paraId="61031FE8" w14:textId="77777777"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Sackett, D. L., Rosenberg, W. M. C., Gray, J. A. M., Haynes, R. B., &amp; Richardson, W. S. (1996). Evidence based medicine: What it is and what it isn’t. BMJ, 312(7023), 71-72.</w:t>
      </w:r>
    </w:p>
    <w:p w14:paraId="4FEBFF9E" w14:textId="77777777"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 </w:t>
      </w:r>
    </w:p>
    <w:p w14:paraId="2BBA1F4D" w14:textId="77777777" w:rsidR="00E944F2" w:rsidRDefault="00E944F2">
      <w:pPr>
        <w:pStyle w:val="s2"/>
        <w:spacing w:before="0" w:beforeAutospacing="0" w:after="120" w:afterAutospacing="0"/>
        <w:divId w:val="209346483"/>
        <w:rPr>
          <w:rFonts w:ascii="-webkit-standard" w:hAnsi="-webkit-standard"/>
          <w:color w:val="000000"/>
          <w:sz w:val="27"/>
          <w:szCs w:val="27"/>
        </w:rPr>
      </w:pPr>
      <w:r>
        <w:rPr>
          <w:rFonts w:ascii="-webkit-standard" w:hAnsi="-webkit-standard"/>
          <w:color w:val="000000"/>
          <w:sz w:val="27"/>
          <w:szCs w:val="27"/>
        </w:rPr>
        <w:t>Graham, I. D., &amp; Logan, J. (2004).</w:t>
      </w:r>
      <w:r>
        <w:rPr>
          <w:rStyle w:val="apple-converted-space"/>
          <w:rFonts w:ascii="-webkit-standard" w:hAnsi="-webkit-standard"/>
          <w:sz w:val="27"/>
          <w:szCs w:val="27"/>
        </w:rPr>
        <w:t> </w:t>
      </w:r>
      <w:r>
        <w:rPr>
          <w:rFonts w:ascii="-webkit-standard" w:hAnsi="-webkit-standard"/>
          <w:color w:val="000000"/>
          <w:sz w:val="27"/>
          <w:szCs w:val="27"/>
        </w:rPr>
        <w:t>Innovations in knowledge transfer and continuity of care.</w:t>
      </w:r>
      <w:r>
        <w:rPr>
          <w:rStyle w:val="apple-converted-space"/>
          <w:rFonts w:ascii="-webkit-standard" w:hAnsi="-webkit-standard"/>
          <w:sz w:val="27"/>
          <w:szCs w:val="27"/>
        </w:rPr>
        <w:t> </w:t>
      </w:r>
      <w:r>
        <w:rPr>
          <w:rFonts w:ascii="-webkit-standard" w:hAnsi="-webkit-standard"/>
          <w:color w:val="000000"/>
          <w:sz w:val="27"/>
          <w:szCs w:val="27"/>
        </w:rPr>
        <w:t>Canadian</w:t>
      </w:r>
      <w:r>
        <w:rPr>
          <w:rStyle w:val="apple-converted-space"/>
          <w:rFonts w:ascii="-webkit-standard" w:hAnsi="-webkit-standard"/>
          <w:sz w:val="27"/>
          <w:szCs w:val="27"/>
        </w:rPr>
        <w:t> </w:t>
      </w:r>
      <w:r>
        <w:rPr>
          <w:rFonts w:ascii="-webkit-standard" w:hAnsi="-webkit-standard"/>
          <w:color w:val="000000"/>
          <w:sz w:val="27"/>
          <w:szCs w:val="27"/>
        </w:rPr>
        <w:t>FamilyPhysician, 50(11), 70-76.</w:t>
      </w:r>
    </w:p>
    <w:p w14:paraId="3889C359" w14:textId="77777777" w:rsidR="0090314E" w:rsidRDefault="0090314E" w:rsidP="00E944F2">
      <w:pPr>
        <w:spacing w:after="61"/>
        <w:ind w:left="761"/>
        <w:rPr>
          <w:rFonts w:ascii="Arial" w:hAnsi="Arial" w:cs="Arial"/>
          <w:b/>
          <w:bCs/>
          <w:sz w:val="24"/>
        </w:rPr>
      </w:pPr>
    </w:p>
    <w:sectPr w:rsidR="0090314E">
      <w:pgSz w:w="12240" w:h="15840"/>
      <w:pgMar w:top="1029" w:right="0" w:bottom="419" w:left="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0AD" w14:textId="77777777" w:rsidR="00E63AD8" w:rsidRDefault="00E63AD8" w:rsidP="00E63AD8">
      <w:pPr>
        <w:spacing w:after="0" w:line="240" w:lineRule="auto"/>
      </w:pPr>
      <w:r>
        <w:separator/>
      </w:r>
    </w:p>
  </w:endnote>
  <w:endnote w:type="continuationSeparator" w:id="0">
    <w:p w14:paraId="1EA668B3" w14:textId="77777777" w:rsidR="00E63AD8" w:rsidRDefault="00E63AD8" w:rsidP="00E6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0BED" w14:textId="77777777" w:rsidR="00E63AD8" w:rsidRDefault="00E63AD8" w:rsidP="00E63AD8">
      <w:pPr>
        <w:spacing w:after="0" w:line="240" w:lineRule="auto"/>
      </w:pPr>
      <w:r>
        <w:separator/>
      </w:r>
    </w:p>
  </w:footnote>
  <w:footnote w:type="continuationSeparator" w:id="0">
    <w:p w14:paraId="12A21AE2" w14:textId="77777777" w:rsidR="00E63AD8" w:rsidRDefault="00E63AD8" w:rsidP="00E63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43"/>
    <w:rsid w:val="00007170"/>
    <w:rsid w:val="00045CDA"/>
    <w:rsid w:val="0005044E"/>
    <w:rsid w:val="00097946"/>
    <w:rsid w:val="00130922"/>
    <w:rsid w:val="00133737"/>
    <w:rsid w:val="001A377E"/>
    <w:rsid w:val="001C7119"/>
    <w:rsid w:val="001F4FC4"/>
    <w:rsid w:val="0026096C"/>
    <w:rsid w:val="0027491A"/>
    <w:rsid w:val="002A217E"/>
    <w:rsid w:val="002B56A9"/>
    <w:rsid w:val="002C067E"/>
    <w:rsid w:val="002F1009"/>
    <w:rsid w:val="002F40C0"/>
    <w:rsid w:val="00331B7E"/>
    <w:rsid w:val="0034229D"/>
    <w:rsid w:val="0035327B"/>
    <w:rsid w:val="003571D6"/>
    <w:rsid w:val="003A6386"/>
    <w:rsid w:val="003B3CC7"/>
    <w:rsid w:val="003D2EB8"/>
    <w:rsid w:val="00416BBB"/>
    <w:rsid w:val="004352E9"/>
    <w:rsid w:val="00462A6E"/>
    <w:rsid w:val="004842A1"/>
    <w:rsid w:val="004F488A"/>
    <w:rsid w:val="00526550"/>
    <w:rsid w:val="00534EBA"/>
    <w:rsid w:val="005476BB"/>
    <w:rsid w:val="005601F1"/>
    <w:rsid w:val="0057140F"/>
    <w:rsid w:val="00571CCE"/>
    <w:rsid w:val="00575CC5"/>
    <w:rsid w:val="006012C7"/>
    <w:rsid w:val="00601E02"/>
    <w:rsid w:val="00640129"/>
    <w:rsid w:val="006E2619"/>
    <w:rsid w:val="006F7969"/>
    <w:rsid w:val="007233F2"/>
    <w:rsid w:val="00734851"/>
    <w:rsid w:val="007839C2"/>
    <w:rsid w:val="0079380D"/>
    <w:rsid w:val="00803A0B"/>
    <w:rsid w:val="00833006"/>
    <w:rsid w:val="00836188"/>
    <w:rsid w:val="00884C43"/>
    <w:rsid w:val="008A0AAD"/>
    <w:rsid w:val="008A6076"/>
    <w:rsid w:val="008B2079"/>
    <w:rsid w:val="008C6F3B"/>
    <w:rsid w:val="008E58C7"/>
    <w:rsid w:val="0090314E"/>
    <w:rsid w:val="00907B97"/>
    <w:rsid w:val="00964BEF"/>
    <w:rsid w:val="0098715D"/>
    <w:rsid w:val="00A40F02"/>
    <w:rsid w:val="00A45F9E"/>
    <w:rsid w:val="00A67B32"/>
    <w:rsid w:val="00A80A14"/>
    <w:rsid w:val="00A844BB"/>
    <w:rsid w:val="00A93602"/>
    <w:rsid w:val="00AA5882"/>
    <w:rsid w:val="00B27619"/>
    <w:rsid w:val="00B347DF"/>
    <w:rsid w:val="00B47CBF"/>
    <w:rsid w:val="00B55F9C"/>
    <w:rsid w:val="00B81110"/>
    <w:rsid w:val="00B91EC9"/>
    <w:rsid w:val="00BA027B"/>
    <w:rsid w:val="00BA4052"/>
    <w:rsid w:val="00BC0314"/>
    <w:rsid w:val="00BF7319"/>
    <w:rsid w:val="00C25A1B"/>
    <w:rsid w:val="00C35A7F"/>
    <w:rsid w:val="00C53FA2"/>
    <w:rsid w:val="00CC05B6"/>
    <w:rsid w:val="00CD571C"/>
    <w:rsid w:val="00CE5CFE"/>
    <w:rsid w:val="00D0354B"/>
    <w:rsid w:val="00D1276A"/>
    <w:rsid w:val="00D55894"/>
    <w:rsid w:val="00DB31B2"/>
    <w:rsid w:val="00DC4AB0"/>
    <w:rsid w:val="00DE2610"/>
    <w:rsid w:val="00E106DB"/>
    <w:rsid w:val="00E17E96"/>
    <w:rsid w:val="00E2548C"/>
    <w:rsid w:val="00E3425E"/>
    <w:rsid w:val="00E45CAA"/>
    <w:rsid w:val="00E57095"/>
    <w:rsid w:val="00E63AD8"/>
    <w:rsid w:val="00E73FC9"/>
    <w:rsid w:val="00E944F2"/>
    <w:rsid w:val="00EA0154"/>
    <w:rsid w:val="00EA2463"/>
    <w:rsid w:val="00F30B5F"/>
    <w:rsid w:val="00F52FFE"/>
    <w:rsid w:val="00FA6EB4"/>
    <w:rsid w:val="00FD657D"/>
    <w:rsid w:val="00FE074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692B"/>
  <w15:docId w15:val="{39DF91A1-C929-E04C-A1DF-06BD660C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Ttulo1">
    <w:name w:val="heading 1"/>
    <w:next w:val="Normal"/>
    <w:link w:val="Ttulo1Car"/>
    <w:uiPriority w:val="9"/>
    <w:qFormat/>
    <w:pPr>
      <w:keepNext/>
      <w:keepLines/>
      <w:spacing w:after="0" w:line="259" w:lineRule="auto"/>
      <w:ind w:left="651" w:right="236" w:hanging="10"/>
      <w:outlineLvl w:val="0"/>
    </w:pPr>
    <w:rPr>
      <w:rFonts w:ascii="Arial" w:eastAsia="Arial" w:hAnsi="Arial" w:cs="Arial"/>
      <w:color w:val="000000"/>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52"/>
    </w:rPr>
  </w:style>
  <w:style w:type="paragraph" w:styleId="Encabezado">
    <w:name w:val="header"/>
    <w:basedOn w:val="Normal"/>
    <w:link w:val="EncabezadoCar"/>
    <w:uiPriority w:val="99"/>
    <w:unhideWhenUsed/>
    <w:rsid w:val="00E63A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3AD8"/>
    <w:rPr>
      <w:rFonts w:ascii="Calibri" w:eastAsia="Calibri" w:hAnsi="Calibri" w:cs="Times New Roman"/>
      <w:color w:val="000000"/>
      <w:sz w:val="22"/>
      <w:lang w:val="en" w:eastAsia="en"/>
    </w:rPr>
  </w:style>
  <w:style w:type="paragraph" w:styleId="Piedepgina">
    <w:name w:val="footer"/>
    <w:basedOn w:val="Normal"/>
    <w:link w:val="PiedepginaCar"/>
    <w:uiPriority w:val="99"/>
    <w:unhideWhenUsed/>
    <w:rsid w:val="00E63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3AD8"/>
    <w:rPr>
      <w:rFonts w:ascii="Calibri" w:eastAsia="Calibri" w:hAnsi="Calibri" w:cs="Times New Roman"/>
      <w:color w:val="000000"/>
      <w:sz w:val="22"/>
      <w:lang w:val="en" w:eastAsia="en"/>
    </w:rPr>
  </w:style>
  <w:style w:type="paragraph" w:styleId="NormalWeb">
    <w:name w:val="Normal (Web)"/>
    <w:basedOn w:val="Normal"/>
    <w:uiPriority w:val="99"/>
    <w:unhideWhenUsed/>
    <w:rsid w:val="00133737"/>
    <w:pPr>
      <w:spacing w:before="100" w:beforeAutospacing="1" w:after="100" w:afterAutospacing="1" w:line="240" w:lineRule="auto"/>
    </w:pPr>
    <w:rPr>
      <w:rFonts w:ascii="Times New Roman" w:eastAsiaTheme="minorEastAsia" w:hAnsi="Times New Roman"/>
      <w:color w:val="auto"/>
      <w:kern w:val="0"/>
      <w:sz w:val="24"/>
      <w:lang w:val="es-US" w:eastAsia="es-ES"/>
      <w14:ligatures w14:val="none"/>
    </w:rPr>
  </w:style>
  <w:style w:type="character" w:customStyle="1" w:styleId="apple-converted-space">
    <w:name w:val="apple-converted-space"/>
    <w:basedOn w:val="Fuentedeprrafopredeter"/>
    <w:rsid w:val="00133737"/>
  </w:style>
  <w:style w:type="character" w:styleId="Hipervnculo">
    <w:name w:val="Hyperlink"/>
    <w:basedOn w:val="Fuentedeprrafopredeter"/>
    <w:uiPriority w:val="99"/>
    <w:semiHidden/>
    <w:unhideWhenUsed/>
    <w:rsid w:val="00133737"/>
    <w:rPr>
      <w:color w:val="0000FF"/>
      <w:u w:val="single"/>
    </w:rPr>
  </w:style>
  <w:style w:type="character" w:styleId="nfasis">
    <w:name w:val="Emphasis"/>
    <w:basedOn w:val="Fuentedeprrafopredeter"/>
    <w:uiPriority w:val="20"/>
    <w:qFormat/>
    <w:rsid w:val="00133737"/>
    <w:rPr>
      <w:i/>
      <w:iCs/>
    </w:rPr>
  </w:style>
  <w:style w:type="character" w:styleId="Textoennegrita">
    <w:name w:val="Strong"/>
    <w:basedOn w:val="Fuentedeprrafopredeter"/>
    <w:uiPriority w:val="22"/>
    <w:qFormat/>
    <w:rsid w:val="00133737"/>
    <w:rPr>
      <w:b/>
      <w:bCs/>
    </w:rPr>
  </w:style>
  <w:style w:type="paragraph" w:styleId="Cita">
    <w:name w:val="Quote"/>
    <w:basedOn w:val="Normal"/>
    <w:next w:val="Normal"/>
    <w:link w:val="CitaCar"/>
    <w:uiPriority w:val="29"/>
    <w:qFormat/>
    <w:rsid w:val="00133737"/>
    <w:pPr>
      <w:spacing w:before="160"/>
      <w:jc w:val="center"/>
    </w:pPr>
    <w:rPr>
      <w:i/>
      <w:iCs/>
      <w:color w:val="404040" w:themeColor="text1" w:themeTint="BF"/>
    </w:rPr>
  </w:style>
  <w:style w:type="character" w:customStyle="1" w:styleId="CitaCar">
    <w:name w:val="Cita Car"/>
    <w:basedOn w:val="Fuentedeprrafopredeter"/>
    <w:link w:val="Cita"/>
    <w:uiPriority w:val="29"/>
    <w:rsid w:val="00133737"/>
    <w:rPr>
      <w:rFonts w:ascii="Calibri" w:eastAsia="Calibri" w:hAnsi="Calibri" w:cs="Times New Roman"/>
      <w:i/>
      <w:iCs/>
      <w:color w:val="404040" w:themeColor="text1" w:themeTint="BF"/>
      <w:sz w:val="22"/>
      <w:lang w:val="en" w:eastAsia="en"/>
    </w:rPr>
  </w:style>
  <w:style w:type="paragraph" w:customStyle="1" w:styleId="s2">
    <w:name w:val="s2"/>
    <w:basedOn w:val="Normal"/>
    <w:rsid w:val="00E944F2"/>
    <w:pPr>
      <w:spacing w:before="100" w:beforeAutospacing="1" w:after="100" w:afterAutospacing="1" w:line="240" w:lineRule="auto"/>
    </w:pPr>
    <w:rPr>
      <w:rFonts w:ascii="Times New Roman" w:eastAsiaTheme="minorEastAsia" w:hAnsi="Times New Roman"/>
      <w:color w:val="auto"/>
      <w:kern w:val="0"/>
      <w:sz w:val="24"/>
      <w:lang w:val="es-U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483">
      <w:bodyDiv w:val="1"/>
      <w:marLeft w:val="0"/>
      <w:marRight w:val="0"/>
      <w:marTop w:val="0"/>
      <w:marBottom w:val="0"/>
      <w:divBdr>
        <w:top w:val="none" w:sz="0" w:space="0" w:color="auto"/>
        <w:left w:val="none" w:sz="0" w:space="0" w:color="auto"/>
        <w:bottom w:val="none" w:sz="0" w:space="0" w:color="auto"/>
        <w:right w:val="none" w:sz="0" w:space="0" w:color="auto"/>
      </w:divBdr>
    </w:div>
    <w:div w:id="1163855497">
      <w:bodyDiv w:val="1"/>
      <w:marLeft w:val="0"/>
      <w:marRight w:val="0"/>
      <w:marTop w:val="0"/>
      <w:marBottom w:val="0"/>
      <w:divBdr>
        <w:top w:val="none" w:sz="0" w:space="0" w:color="auto"/>
        <w:left w:val="none" w:sz="0" w:space="0" w:color="auto"/>
        <w:bottom w:val="none" w:sz="0" w:space="0" w:color="auto"/>
        <w:right w:val="none" w:sz="0" w:space="0" w:color="auto"/>
      </w:divBdr>
      <w:divsChild>
        <w:div w:id="14197917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5164</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javiergilarqui@gmail.com</dc:creator>
  <cp:keywords/>
  <cp:lastModifiedBy>Arturo Majay</cp:lastModifiedBy>
  <cp:revision>2</cp:revision>
  <dcterms:created xsi:type="dcterms:W3CDTF">2025-09-09T04:17:00Z</dcterms:created>
  <dcterms:modified xsi:type="dcterms:W3CDTF">2025-09-09T04:17:00Z</dcterms:modified>
</cp:coreProperties>
</file>