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9D0" w14:textId="77777777" w:rsidR="00F84474" w:rsidRDefault="00F84474" w:rsidP="00F84474">
      <w:pPr>
        <w:spacing w:after="0" w:line="360" w:lineRule="auto"/>
        <w:jc w:val="both"/>
        <w:rPr>
          <w:rFonts w:ascii="Times New Roman" w:hAnsi="Times New Roman" w:cs="Times New Roman"/>
        </w:rPr>
      </w:pPr>
    </w:p>
    <w:p w14:paraId="2E89135A" w14:textId="77777777" w:rsidR="00F84474" w:rsidRDefault="00F84474" w:rsidP="00F84474">
      <w:pPr>
        <w:spacing w:after="0" w:line="360" w:lineRule="auto"/>
        <w:jc w:val="both"/>
        <w:rPr>
          <w:rFonts w:ascii="Times New Roman" w:hAnsi="Times New Roman" w:cs="Times New Roman"/>
        </w:rPr>
      </w:pPr>
    </w:p>
    <w:p w14:paraId="44A4F362" w14:textId="77777777" w:rsidR="00F84474" w:rsidRDefault="00F84474" w:rsidP="00F84474">
      <w:pPr>
        <w:spacing w:after="0" w:line="360" w:lineRule="auto"/>
        <w:jc w:val="both"/>
        <w:rPr>
          <w:rFonts w:ascii="Times New Roman" w:hAnsi="Times New Roman" w:cs="Times New Roman"/>
        </w:rPr>
      </w:pPr>
    </w:p>
    <w:p w14:paraId="04B76CB8" w14:textId="77777777" w:rsidR="00F84474" w:rsidRDefault="00F84474" w:rsidP="00F84474">
      <w:pPr>
        <w:spacing w:after="0" w:line="360" w:lineRule="auto"/>
        <w:jc w:val="both"/>
        <w:rPr>
          <w:rFonts w:ascii="Times New Roman" w:hAnsi="Times New Roman" w:cs="Times New Roman"/>
        </w:rPr>
      </w:pPr>
    </w:p>
    <w:p w14:paraId="23E74C18" w14:textId="3F466877" w:rsidR="00F84474" w:rsidRDefault="008A26E2" w:rsidP="00F84474">
      <w:pPr>
        <w:spacing w:after="0" w:line="360" w:lineRule="auto"/>
        <w:jc w:val="both"/>
        <w:rPr>
          <w:rFonts w:ascii="Aptos Black" w:hAnsi="Aptos Black" w:cs="Times New Roman"/>
          <w:b/>
          <w:bCs/>
          <w:sz w:val="144"/>
          <w:szCs w:val="144"/>
        </w:rPr>
      </w:pPr>
      <w:r w:rsidRPr="008A26E2">
        <w:rPr>
          <w:rFonts w:ascii="Aptos Black" w:hAnsi="Aptos Black" w:cs="Times New Roman"/>
          <w:b/>
          <w:bCs/>
          <w:sz w:val="144"/>
          <w:szCs w:val="144"/>
        </w:rPr>
        <w:t>UDS</w:t>
      </w:r>
    </w:p>
    <w:p w14:paraId="466F45FE" w14:textId="32CE2D80" w:rsidR="008A26E2" w:rsidRDefault="008A26E2" w:rsidP="00F84474">
      <w:pPr>
        <w:spacing w:after="0" w:line="360" w:lineRule="auto"/>
        <w:jc w:val="both"/>
        <w:rPr>
          <w:rFonts w:ascii="Aptos Black" w:hAnsi="Aptos Black" w:cs="Times New Roman"/>
          <w:b/>
          <w:bCs/>
          <w:sz w:val="32"/>
          <w:szCs w:val="32"/>
        </w:rPr>
      </w:pPr>
      <w:r>
        <w:rPr>
          <w:rFonts w:ascii="Aptos Black" w:hAnsi="Aptos Black" w:cs="Times New Roman"/>
          <w:b/>
          <w:bCs/>
          <w:sz w:val="32"/>
          <w:szCs w:val="32"/>
        </w:rPr>
        <w:t xml:space="preserve">Ensayo sobre </w:t>
      </w:r>
      <w:proofErr w:type="spellStart"/>
      <w:r>
        <w:rPr>
          <w:rFonts w:ascii="Aptos Black" w:hAnsi="Aptos Black" w:cs="Times New Roman"/>
          <w:b/>
          <w:bCs/>
          <w:sz w:val="32"/>
          <w:szCs w:val="32"/>
        </w:rPr>
        <w:t>anafilaccia</w:t>
      </w:r>
      <w:proofErr w:type="spellEnd"/>
    </w:p>
    <w:p w14:paraId="619D3F97" w14:textId="533E5577" w:rsidR="008A26E2" w:rsidRDefault="008A26E2" w:rsidP="00F84474">
      <w:pPr>
        <w:spacing w:after="0" w:line="360" w:lineRule="auto"/>
        <w:jc w:val="both"/>
        <w:rPr>
          <w:rFonts w:cs="Times New Roman"/>
          <w:sz w:val="32"/>
          <w:szCs w:val="32"/>
        </w:rPr>
      </w:pPr>
      <w:r>
        <w:rPr>
          <w:rFonts w:cs="Times New Roman"/>
          <w:sz w:val="32"/>
          <w:szCs w:val="32"/>
        </w:rPr>
        <w:t>Sergio Fabián Trejo Ruiz</w:t>
      </w:r>
    </w:p>
    <w:p w14:paraId="5161D75F" w14:textId="5C50FA56" w:rsidR="008A26E2" w:rsidRDefault="00971C6F" w:rsidP="00F84474">
      <w:pPr>
        <w:spacing w:after="0" w:line="360" w:lineRule="auto"/>
        <w:jc w:val="both"/>
        <w:rPr>
          <w:rFonts w:cs="Times New Roman"/>
          <w:sz w:val="32"/>
          <w:szCs w:val="32"/>
        </w:rPr>
      </w:pPr>
      <w:r>
        <w:rPr>
          <w:rFonts w:cs="Times New Roman"/>
          <w:sz w:val="32"/>
          <w:szCs w:val="32"/>
        </w:rPr>
        <w:t>8°A</w:t>
      </w:r>
    </w:p>
    <w:p w14:paraId="1349E004" w14:textId="46FC64AD" w:rsidR="00971C6F" w:rsidRPr="008A26E2" w:rsidRDefault="00971C6F" w:rsidP="00F84474">
      <w:pPr>
        <w:spacing w:after="0" w:line="360" w:lineRule="auto"/>
        <w:jc w:val="both"/>
        <w:rPr>
          <w:rFonts w:cs="Times New Roman"/>
          <w:sz w:val="32"/>
          <w:szCs w:val="32"/>
        </w:rPr>
      </w:pPr>
      <w:r>
        <w:rPr>
          <w:rFonts w:cs="Times New Roman"/>
          <w:sz w:val="32"/>
          <w:szCs w:val="32"/>
        </w:rPr>
        <w:t>Inmunoalergias</w:t>
      </w:r>
    </w:p>
    <w:p w14:paraId="078503B9" w14:textId="77777777" w:rsidR="00F84474" w:rsidRDefault="00F84474" w:rsidP="00F84474">
      <w:pPr>
        <w:spacing w:after="0" w:line="360" w:lineRule="auto"/>
        <w:jc w:val="both"/>
        <w:rPr>
          <w:rFonts w:ascii="Times New Roman" w:hAnsi="Times New Roman" w:cs="Times New Roman"/>
        </w:rPr>
      </w:pPr>
    </w:p>
    <w:p w14:paraId="4EC9F629" w14:textId="77777777" w:rsidR="00F84474" w:rsidRDefault="00F84474" w:rsidP="00F84474">
      <w:pPr>
        <w:spacing w:after="0" w:line="360" w:lineRule="auto"/>
        <w:jc w:val="both"/>
        <w:rPr>
          <w:rFonts w:ascii="Times New Roman" w:hAnsi="Times New Roman" w:cs="Times New Roman"/>
        </w:rPr>
      </w:pPr>
    </w:p>
    <w:p w14:paraId="470146CB" w14:textId="77777777" w:rsidR="00F84474" w:rsidRDefault="00F84474" w:rsidP="00F84474">
      <w:pPr>
        <w:spacing w:after="0" w:line="360" w:lineRule="auto"/>
        <w:jc w:val="both"/>
        <w:rPr>
          <w:rFonts w:ascii="Times New Roman" w:hAnsi="Times New Roman" w:cs="Times New Roman"/>
        </w:rPr>
      </w:pPr>
    </w:p>
    <w:p w14:paraId="4F74226D" w14:textId="77777777" w:rsidR="00F84474" w:rsidRDefault="00F84474" w:rsidP="00F84474">
      <w:pPr>
        <w:spacing w:after="0" w:line="360" w:lineRule="auto"/>
        <w:jc w:val="both"/>
        <w:rPr>
          <w:rFonts w:ascii="Times New Roman" w:hAnsi="Times New Roman" w:cs="Times New Roman"/>
        </w:rPr>
      </w:pPr>
    </w:p>
    <w:p w14:paraId="450BF59A" w14:textId="77777777" w:rsidR="00F84474" w:rsidRDefault="00F84474" w:rsidP="00F84474">
      <w:pPr>
        <w:spacing w:after="0" w:line="360" w:lineRule="auto"/>
        <w:jc w:val="both"/>
        <w:rPr>
          <w:rFonts w:ascii="Times New Roman" w:hAnsi="Times New Roman" w:cs="Times New Roman"/>
        </w:rPr>
      </w:pPr>
    </w:p>
    <w:p w14:paraId="245687EA" w14:textId="77777777" w:rsidR="00F84474" w:rsidRDefault="00F84474" w:rsidP="00F84474">
      <w:pPr>
        <w:spacing w:after="0" w:line="360" w:lineRule="auto"/>
        <w:jc w:val="both"/>
        <w:rPr>
          <w:rFonts w:ascii="Times New Roman" w:hAnsi="Times New Roman" w:cs="Times New Roman"/>
        </w:rPr>
      </w:pPr>
    </w:p>
    <w:p w14:paraId="37997DC9" w14:textId="77777777" w:rsidR="00F84474" w:rsidRDefault="00F84474" w:rsidP="00F84474">
      <w:pPr>
        <w:spacing w:after="0" w:line="360" w:lineRule="auto"/>
        <w:jc w:val="both"/>
        <w:rPr>
          <w:rFonts w:ascii="Times New Roman" w:hAnsi="Times New Roman" w:cs="Times New Roman"/>
        </w:rPr>
      </w:pPr>
    </w:p>
    <w:p w14:paraId="1529D4D3" w14:textId="77777777" w:rsidR="00F84474" w:rsidRDefault="00F84474" w:rsidP="00F84474">
      <w:pPr>
        <w:spacing w:after="0" w:line="360" w:lineRule="auto"/>
        <w:jc w:val="both"/>
        <w:rPr>
          <w:rFonts w:ascii="Times New Roman" w:hAnsi="Times New Roman" w:cs="Times New Roman"/>
        </w:rPr>
      </w:pPr>
    </w:p>
    <w:p w14:paraId="38938E98" w14:textId="77777777" w:rsidR="00F84474" w:rsidRDefault="00F84474" w:rsidP="00F84474">
      <w:pPr>
        <w:spacing w:after="0" w:line="360" w:lineRule="auto"/>
        <w:jc w:val="both"/>
        <w:rPr>
          <w:rFonts w:ascii="Times New Roman" w:hAnsi="Times New Roman" w:cs="Times New Roman"/>
        </w:rPr>
      </w:pPr>
    </w:p>
    <w:p w14:paraId="0D0A696F" w14:textId="77777777" w:rsidR="00F84474" w:rsidRDefault="00F84474" w:rsidP="00F84474">
      <w:pPr>
        <w:spacing w:after="0" w:line="360" w:lineRule="auto"/>
        <w:jc w:val="both"/>
        <w:rPr>
          <w:rFonts w:ascii="Times New Roman" w:hAnsi="Times New Roman" w:cs="Times New Roman"/>
        </w:rPr>
      </w:pPr>
    </w:p>
    <w:p w14:paraId="169B1430" w14:textId="77777777" w:rsidR="00F84474" w:rsidRDefault="00F84474" w:rsidP="00F84474">
      <w:pPr>
        <w:spacing w:after="0" w:line="360" w:lineRule="auto"/>
        <w:jc w:val="both"/>
        <w:rPr>
          <w:rFonts w:ascii="Times New Roman" w:hAnsi="Times New Roman" w:cs="Times New Roman"/>
        </w:rPr>
      </w:pPr>
    </w:p>
    <w:p w14:paraId="0D9A9843" w14:textId="77777777" w:rsidR="00F84474" w:rsidRDefault="00F84474" w:rsidP="00F84474">
      <w:pPr>
        <w:spacing w:after="0" w:line="360" w:lineRule="auto"/>
        <w:jc w:val="both"/>
        <w:rPr>
          <w:rFonts w:ascii="Times New Roman" w:hAnsi="Times New Roman" w:cs="Times New Roman"/>
        </w:rPr>
      </w:pPr>
    </w:p>
    <w:p w14:paraId="0C9FF2E2" w14:textId="77777777" w:rsidR="00F84474" w:rsidRDefault="00F84474" w:rsidP="00F84474">
      <w:pPr>
        <w:spacing w:after="0" w:line="360" w:lineRule="auto"/>
        <w:jc w:val="both"/>
        <w:rPr>
          <w:rFonts w:ascii="Times New Roman" w:hAnsi="Times New Roman" w:cs="Times New Roman"/>
        </w:rPr>
      </w:pPr>
    </w:p>
    <w:p w14:paraId="06B777D1" w14:textId="77777777" w:rsidR="00F84474" w:rsidRDefault="00F84474" w:rsidP="00F84474">
      <w:pPr>
        <w:spacing w:after="0" w:line="360" w:lineRule="auto"/>
        <w:jc w:val="both"/>
        <w:rPr>
          <w:rFonts w:ascii="Times New Roman" w:hAnsi="Times New Roman" w:cs="Times New Roman"/>
        </w:rPr>
      </w:pPr>
    </w:p>
    <w:p w14:paraId="666C1172" w14:textId="77777777" w:rsidR="00971C6F" w:rsidRDefault="00971C6F" w:rsidP="00F84474">
      <w:pPr>
        <w:spacing w:after="0" w:line="360" w:lineRule="auto"/>
        <w:jc w:val="both"/>
        <w:rPr>
          <w:rFonts w:ascii="Times New Roman" w:hAnsi="Times New Roman" w:cs="Times New Roman"/>
        </w:rPr>
      </w:pPr>
    </w:p>
    <w:p w14:paraId="6BD1F884" w14:textId="23CCE69A"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lastRenderedPageBreak/>
        <w:t>La Anafilaxia en Latinoamérica: Un Desafío Clínico y una Oportunidad para la Acción</w:t>
      </w:r>
    </w:p>
    <w:p w14:paraId="7137E180" w14:textId="77777777" w:rsidR="008637D8" w:rsidRPr="008637D8" w:rsidRDefault="008637D8" w:rsidP="00F84474">
      <w:pPr>
        <w:spacing w:after="0" w:line="360" w:lineRule="auto"/>
        <w:jc w:val="both"/>
        <w:rPr>
          <w:rFonts w:ascii="Times New Roman" w:hAnsi="Times New Roman" w:cs="Times New Roman"/>
        </w:rPr>
      </w:pPr>
    </w:p>
    <w:p w14:paraId="07D2EDF4"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Introducción</w:t>
      </w:r>
    </w:p>
    <w:p w14:paraId="41FF6642" w14:textId="77777777" w:rsidR="008637D8" w:rsidRPr="008637D8" w:rsidRDefault="008637D8" w:rsidP="00F84474">
      <w:pPr>
        <w:spacing w:after="0" w:line="360" w:lineRule="auto"/>
        <w:jc w:val="both"/>
        <w:rPr>
          <w:rFonts w:ascii="Times New Roman" w:hAnsi="Times New Roman" w:cs="Times New Roman"/>
        </w:rPr>
      </w:pPr>
    </w:p>
    <w:p w14:paraId="7E02C9CA"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La anafilaxia representa la máxima expresión de una reacción alérgica, un evento agudo, potencialmente fatal y de instauración rápida que exige un reconocimiento inmediato y una intervención urgente. Constituye una emergencia médica donde el tiempo de respuesta es inversamente proporcional al desenlace clínico. Aunque sus principios fisiopatológicos son universales, su presentación, desencadenantes y, sobre todo, su manejo en el contexto latinoamericano presentan particularidades que demandan una atención específica. Este ensayo busca profundizar en la definición, epidemiología, desencadenantes, diagnóstico y tratamiento de la anafilaxia, con un énfasis especial en la realidad de América Latina, culminando con una reflexión sobre el papel crucial del alergólogo y el equipo de salud en la optimización de su manejo.</w:t>
      </w:r>
    </w:p>
    <w:p w14:paraId="4C044617" w14:textId="77777777" w:rsidR="008637D8" w:rsidRPr="008637D8" w:rsidRDefault="008637D8" w:rsidP="00F84474">
      <w:pPr>
        <w:spacing w:after="0" w:line="360" w:lineRule="auto"/>
        <w:jc w:val="both"/>
        <w:rPr>
          <w:rFonts w:ascii="Times New Roman" w:hAnsi="Times New Roman" w:cs="Times New Roman"/>
        </w:rPr>
      </w:pPr>
    </w:p>
    <w:p w14:paraId="5B01B5FF"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1. Definición de Anafilaxia</w:t>
      </w:r>
    </w:p>
    <w:p w14:paraId="6BAFE913" w14:textId="77777777" w:rsidR="008637D8" w:rsidRPr="008637D8" w:rsidRDefault="008637D8" w:rsidP="00F84474">
      <w:pPr>
        <w:spacing w:after="0" w:line="360" w:lineRule="auto"/>
        <w:jc w:val="both"/>
        <w:rPr>
          <w:rFonts w:ascii="Times New Roman" w:hAnsi="Times New Roman" w:cs="Times New Roman"/>
        </w:rPr>
      </w:pPr>
    </w:p>
    <w:p w14:paraId="568D7E41"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La anafilaxia es una reacción de hipersensibilidad sistémica, grave y de rápido desarrollo, que puede conducir a la muerte. Su definición clínica, más que depender de una prueba de laboratorio, se sustenta en criterios clínicos consensuados. Los criterios más ampliamente utilizados son los propuestos por </w:t>
      </w:r>
      <w:proofErr w:type="spellStart"/>
      <w:r w:rsidRPr="008637D8">
        <w:rPr>
          <w:rFonts w:ascii="Times New Roman" w:hAnsi="Times New Roman" w:cs="Times New Roman"/>
        </w:rPr>
        <w:t>Sampson</w:t>
      </w:r>
      <w:proofErr w:type="spellEnd"/>
      <w:r w:rsidRPr="008637D8">
        <w:rPr>
          <w:rFonts w:ascii="Times New Roman" w:hAnsi="Times New Roman" w:cs="Times New Roman"/>
        </w:rPr>
        <w:t xml:space="preserve"> et al., los cuales establecen que la anafilaxia es altamente probable cuando se cumple uno de los siguientes tres criterios:</w:t>
      </w:r>
    </w:p>
    <w:p w14:paraId="0D31634D" w14:textId="77777777" w:rsidR="008637D8" w:rsidRPr="008637D8" w:rsidRDefault="008637D8" w:rsidP="00F84474">
      <w:pPr>
        <w:spacing w:after="0" w:line="360" w:lineRule="auto"/>
        <w:jc w:val="both"/>
        <w:rPr>
          <w:rFonts w:ascii="Times New Roman" w:hAnsi="Times New Roman" w:cs="Times New Roman"/>
        </w:rPr>
      </w:pPr>
    </w:p>
    <w:p w14:paraId="3ABB32BA"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1. Inicio agudo (minutos a horas) de una enfermedad con afectación cutánea y/o mucosa (ej., urticaria generalizada, prurito, rubor, edema labial) Y al menos uno de los siguientes: a) Compromiso respiratorio (ej., disnea, sibilancias, estridor); b) Hipotensión o síntomas de disfunción de órganos diana (ej., hipotonía, síncope, incontinencia).</w:t>
      </w:r>
    </w:p>
    <w:p w14:paraId="3A95D46D"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2. Dos o más de los siguientes síntomas que ocurren rápidamente tras la exposición a un alérgeno probable: a) Afectación cutáneo-mucosa; b) Compromiso respiratorio; c) Hipotensión o síntomas asociados; d) Síntomas gastrointestinales persistentes (ej., cólicos abdominales, vómitos).</w:t>
      </w:r>
    </w:p>
    <w:p w14:paraId="21031EAF"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lastRenderedPageBreak/>
        <w:t>3. Hipotensión después de la exposición a un alérgeno conocido: caída de la presión arterial sistólica en adultos o descenso superior al 30% de la basal en niños.</w:t>
      </w:r>
    </w:p>
    <w:p w14:paraId="0FBCE530" w14:textId="77777777" w:rsidR="008637D8" w:rsidRPr="008637D8" w:rsidRDefault="008637D8" w:rsidP="00F84474">
      <w:pPr>
        <w:spacing w:after="0" w:line="360" w:lineRule="auto"/>
        <w:jc w:val="both"/>
        <w:rPr>
          <w:rFonts w:ascii="Times New Roman" w:hAnsi="Times New Roman" w:cs="Times New Roman"/>
        </w:rPr>
      </w:pPr>
    </w:p>
    <w:p w14:paraId="5CB10C19"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Esta definición operativa es fundamental para que cualquier profesional de la salud, no solo el alergólogo, pueda identificar y tratar con celeridad este cuadro.</w:t>
      </w:r>
    </w:p>
    <w:p w14:paraId="0F29F4A0" w14:textId="77777777" w:rsidR="008637D8" w:rsidRPr="008637D8" w:rsidRDefault="008637D8" w:rsidP="00F84474">
      <w:pPr>
        <w:spacing w:after="0" w:line="360" w:lineRule="auto"/>
        <w:jc w:val="both"/>
        <w:rPr>
          <w:rFonts w:ascii="Times New Roman" w:hAnsi="Times New Roman" w:cs="Times New Roman"/>
        </w:rPr>
      </w:pPr>
    </w:p>
    <w:p w14:paraId="579A53EC"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2. Epidemiología: Incidencia, Prevalencia y Riesgo de Recurrencia en Latinoamérica</w:t>
      </w:r>
    </w:p>
    <w:p w14:paraId="56926E9B" w14:textId="77777777" w:rsidR="008637D8" w:rsidRPr="008637D8" w:rsidRDefault="008637D8" w:rsidP="00F84474">
      <w:pPr>
        <w:spacing w:after="0" w:line="360" w:lineRule="auto"/>
        <w:jc w:val="both"/>
        <w:rPr>
          <w:rFonts w:ascii="Times New Roman" w:hAnsi="Times New Roman" w:cs="Times New Roman"/>
        </w:rPr>
      </w:pPr>
    </w:p>
    <w:p w14:paraId="4AAA2366"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La epidemiología de la anafilaxia a nivel global es subestimada, y esta situación se agudiza en Latinoamérica debido a la falta de sistemas de vigilancia estandarizados y al </w:t>
      </w:r>
      <w:proofErr w:type="spellStart"/>
      <w:r w:rsidRPr="008637D8">
        <w:rPr>
          <w:rFonts w:ascii="Times New Roman" w:hAnsi="Times New Roman" w:cs="Times New Roman"/>
        </w:rPr>
        <w:t>subregistro</w:t>
      </w:r>
      <w:proofErr w:type="spellEnd"/>
      <w:r w:rsidRPr="008637D8">
        <w:rPr>
          <w:rFonts w:ascii="Times New Roman" w:hAnsi="Times New Roman" w:cs="Times New Roman"/>
        </w:rPr>
        <w:t>. No obstante, los datos disponibles pintan un panorama preocupante.</w:t>
      </w:r>
    </w:p>
    <w:p w14:paraId="7C1CD9E4" w14:textId="77777777" w:rsidR="008637D8" w:rsidRPr="008637D8" w:rsidRDefault="008637D8" w:rsidP="00F84474">
      <w:pPr>
        <w:spacing w:after="0" w:line="360" w:lineRule="auto"/>
        <w:jc w:val="both"/>
        <w:rPr>
          <w:rFonts w:ascii="Times New Roman" w:hAnsi="Times New Roman" w:cs="Times New Roman"/>
        </w:rPr>
      </w:pPr>
    </w:p>
    <w:p w14:paraId="79DFF7DC"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La incidencia mundial se estima entre 50 y 112 episodios por cada 100,000 personas-año. En Latinoamérica, los estudios son fragmentarios pero reveladores. En Chile, un estudio reportó una incidencia de 3,6 a 3,8 por 100.000 habitantes, mientras que en Brasil se han documentado tasas que oscilan entre 1,0 y 10,6 por 100.000 habitantes, dependiendo de la región y el método de estudio. Estas cifras, probablemente inferiores a la realidad, indican que miles de latinoamericanos experimentan anafilaxia cada año.</w:t>
      </w:r>
    </w:p>
    <w:p w14:paraId="2034B2AD" w14:textId="77777777" w:rsidR="008637D8" w:rsidRPr="008637D8" w:rsidRDefault="008637D8" w:rsidP="00F84474">
      <w:pPr>
        <w:spacing w:after="0" w:line="360" w:lineRule="auto"/>
        <w:jc w:val="both"/>
        <w:rPr>
          <w:rFonts w:ascii="Times New Roman" w:hAnsi="Times New Roman" w:cs="Times New Roman"/>
        </w:rPr>
      </w:pPr>
    </w:p>
    <w:p w14:paraId="20B76526"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La prevalencia a lo largo de la vida también varía. Se calcula que aproximadamente del 0,3% al 5% de la población mundial sufrirá al menos un episodio de anafilaxia en su vida. En países como México y Argentina, estudios en poblaciones pediátricas y hospitalarias sugieren que las reacciones alimentarias y por medicamentos son causas frecuentes, lo que implica una prevalencia sustancial.</w:t>
      </w:r>
    </w:p>
    <w:p w14:paraId="36B03587" w14:textId="77777777" w:rsidR="008637D8" w:rsidRPr="008637D8" w:rsidRDefault="008637D8" w:rsidP="00F84474">
      <w:pPr>
        <w:spacing w:after="0" w:line="360" w:lineRule="auto"/>
        <w:jc w:val="both"/>
        <w:rPr>
          <w:rFonts w:ascii="Times New Roman" w:hAnsi="Times New Roman" w:cs="Times New Roman"/>
        </w:rPr>
      </w:pPr>
    </w:p>
    <w:p w14:paraId="210243E7"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El riesgo de recurrencia es un aspecto crítico. Se estima que entre el 15% y el 20% de los pacientes que han tenido un episodio de anafilaxia experimentarán un segundo evento. Este riesgo es mayor en pacientes con asma coexistente, aquellos con antecedentes de reacciones graves, y cuando la exposición al alérgeno es inadvertida o el tratamiento inicial fue inadecuado (por ejemplo, no se utilizó adrenalina). En Latinoamérica, este riesgo se ve </w:t>
      </w:r>
      <w:r w:rsidRPr="008637D8">
        <w:rPr>
          <w:rFonts w:ascii="Times New Roman" w:hAnsi="Times New Roman" w:cs="Times New Roman"/>
        </w:rPr>
        <w:lastRenderedPageBreak/>
        <w:t xml:space="preserve">exacerbado por factores como el difícil acceso a especialistas para una correcta identificación del alérgeno y la prescripción limitada de </w:t>
      </w:r>
      <w:proofErr w:type="spellStart"/>
      <w:r w:rsidRPr="008637D8">
        <w:rPr>
          <w:rFonts w:ascii="Times New Roman" w:hAnsi="Times New Roman" w:cs="Times New Roman"/>
        </w:rPr>
        <w:t>autoinyectores</w:t>
      </w:r>
      <w:proofErr w:type="spellEnd"/>
      <w:r w:rsidRPr="008637D8">
        <w:rPr>
          <w:rFonts w:ascii="Times New Roman" w:hAnsi="Times New Roman" w:cs="Times New Roman"/>
        </w:rPr>
        <w:t xml:space="preserve"> de adrenalina.</w:t>
      </w:r>
    </w:p>
    <w:p w14:paraId="6EF3AFCF" w14:textId="77777777" w:rsidR="008637D8" w:rsidRPr="008637D8" w:rsidRDefault="008637D8" w:rsidP="00F84474">
      <w:pPr>
        <w:spacing w:after="0" w:line="360" w:lineRule="auto"/>
        <w:jc w:val="both"/>
        <w:rPr>
          <w:rFonts w:ascii="Times New Roman" w:hAnsi="Times New Roman" w:cs="Times New Roman"/>
        </w:rPr>
      </w:pPr>
    </w:p>
    <w:p w14:paraId="15AC8F90"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3. Desencadenantes Comunes con Datos Específicos Latinoamericanos</w:t>
      </w:r>
    </w:p>
    <w:p w14:paraId="180C486E" w14:textId="77777777" w:rsidR="008637D8" w:rsidRPr="008637D8" w:rsidRDefault="008637D8" w:rsidP="00F84474">
      <w:pPr>
        <w:spacing w:after="0" w:line="360" w:lineRule="auto"/>
        <w:jc w:val="both"/>
        <w:rPr>
          <w:rFonts w:ascii="Times New Roman" w:hAnsi="Times New Roman" w:cs="Times New Roman"/>
        </w:rPr>
      </w:pPr>
    </w:p>
    <w:p w14:paraId="2A43518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Los desencadenantes de anafilaxia muestran variaciones geográficas y culturales influenciadas por los patrones alimentarios, la prevalencia de enfermedades y el uso de medicamentos.</w:t>
      </w:r>
    </w:p>
    <w:p w14:paraId="739B1F93" w14:textId="77777777" w:rsidR="008637D8" w:rsidRPr="008637D8" w:rsidRDefault="008637D8" w:rsidP="00F84474">
      <w:pPr>
        <w:spacing w:after="0" w:line="360" w:lineRule="auto"/>
        <w:jc w:val="both"/>
        <w:rPr>
          <w:rFonts w:ascii="Times New Roman" w:hAnsi="Times New Roman" w:cs="Times New Roman"/>
        </w:rPr>
      </w:pPr>
    </w:p>
    <w:p w14:paraId="21173673"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Alimentos: Constituyen la principal causa en niños y una de las más importantes en adultos a nivel global. En Latinoamérica, los alérgenos alimentarios más frecuentes incluyen:</w:t>
      </w:r>
    </w:p>
    <w:p w14:paraId="1290B0C6"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Leche de vaca y huevo: Lideran las causas en la población pediátrica en países como Brasil, Chile y Argentina.</w:t>
      </w:r>
    </w:p>
    <w:p w14:paraId="53DA4AFC"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Trigo y soja: Su importancia ha ido en aumento.</w:t>
      </w:r>
    </w:p>
    <w:p w14:paraId="787B821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Mariscos y pescados: Son causas prevalentes en zonas costeras de Perú, Ecuador, Chile y México.</w:t>
      </w:r>
    </w:p>
    <w:p w14:paraId="353A45FB"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Maní y frutos secos: Si bien su consumo es menor que en Norteamérica o Europa, son desencadenantes significativos, especialmente en áreas urbanas.</w:t>
      </w:r>
    </w:p>
    <w:p w14:paraId="179B8CAC"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Alimentos regionales: Se han reportado casos con alimentos como el </w:t>
      </w:r>
      <w:proofErr w:type="spellStart"/>
      <w:r w:rsidRPr="008637D8">
        <w:rPr>
          <w:rFonts w:ascii="Times New Roman" w:hAnsi="Times New Roman" w:cs="Times New Roman"/>
        </w:rPr>
        <w:t>açaí</w:t>
      </w:r>
      <w:proofErr w:type="spellEnd"/>
      <w:r w:rsidRPr="008637D8">
        <w:rPr>
          <w:rFonts w:ascii="Times New Roman" w:hAnsi="Times New Roman" w:cs="Times New Roman"/>
        </w:rPr>
        <w:t xml:space="preserve"> en Brasil o ciertos insectos comestibles en México, reflejando la diversidad de la dieta latinoamericana.</w:t>
      </w:r>
    </w:p>
    <w:p w14:paraId="457057D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Fármacos: Son la causa principal de anafilaxia en la población adulta en muchos contextos.</w:t>
      </w:r>
    </w:p>
    <w:p w14:paraId="01E66CCF"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Antibióticos </w:t>
      </w:r>
      <w:proofErr w:type="spellStart"/>
      <w:r w:rsidRPr="008637D8">
        <w:rPr>
          <w:rFonts w:ascii="Times New Roman" w:hAnsi="Times New Roman" w:cs="Times New Roman"/>
        </w:rPr>
        <w:t>betalactámicos</w:t>
      </w:r>
      <w:proofErr w:type="spellEnd"/>
      <w:r w:rsidRPr="008637D8">
        <w:rPr>
          <w:rFonts w:ascii="Times New Roman" w:hAnsi="Times New Roman" w:cs="Times New Roman"/>
        </w:rPr>
        <w:t xml:space="preserve"> (penicilinas y cefalosporinas) encabezan la lista en toda la región.</w:t>
      </w:r>
    </w:p>
    <w:p w14:paraId="7FE90049"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Antiinflamatorios no esteroideos (</w:t>
      </w:r>
      <w:proofErr w:type="spellStart"/>
      <w:r w:rsidRPr="008637D8">
        <w:rPr>
          <w:rFonts w:ascii="Times New Roman" w:hAnsi="Times New Roman" w:cs="Times New Roman"/>
        </w:rPr>
        <w:t>AINEs</w:t>
      </w:r>
      <w:proofErr w:type="spellEnd"/>
      <w:r w:rsidRPr="008637D8">
        <w:rPr>
          <w:rFonts w:ascii="Times New Roman" w:hAnsi="Times New Roman" w:cs="Times New Roman"/>
        </w:rPr>
        <w:t>) como el diclofenaco y el ibuprofeno son desencadenantes extremadamente comunes, a menudo asociados con reacciones cruzadas.</w:t>
      </w:r>
    </w:p>
    <w:p w14:paraId="28BCEE7A"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 </w:t>
      </w:r>
      <w:proofErr w:type="spellStart"/>
      <w:r w:rsidRPr="008637D8">
        <w:rPr>
          <w:rFonts w:ascii="Times New Roman" w:hAnsi="Times New Roman" w:cs="Times New Roman"/>
        </w:rPr>
        <w:t>Quimioterápicos</w:t>
      </w:r>
      <w:proofErr w:type="spellEnd"/>
      <w:r w:rsidRPr="008637D8">
        <w:rPr>
          <w:rFonts w:ascii="Times New Roman" w:hAnsi="Times New Roman" w:cs="Times New Roman"/>
        </w:rPr>
        <w:t xml:space="preserve"> y medios de contraste radiológicos son causas importantes en el ámbito hospitalario.</w:t>
      </w:r>
    </w:p>
    <w:p w14:paraId="731595C2"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Picaduras de Himenópteros: (Abejas, avispas y hormigas). Su impacto es significativo, especialmente en zonas rurales y semiurbanas. En países como Argentina y Brasil, la picadura de abejas africanizadas es una causa importante de anafilaxia grave y mortal. La inmunoterapia con veneno es una herramienta preventiva crucial, pero su acceso es limitado.</w:t>
      </w:r>
    </w:p>
    <w:p w14:paraId="1E1F32B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lastRenderedPageBreak/>
        <w:t xml:space="preserve">· Otros: El látex fue un desencadenante importante en el entorno sanitario, aunque su prevalencia ha disminuido con el uso de guantes sin </w:t>
      </w:r>
      <w:proofErr w:type="spellStart"/>
      <w:r w:rsidRPr="008637D8">
        <w:rPr>
          <w:rFonts w:ascii="Times New Roman" w:hAnsi="Times New Roman" w:cs="Times New Roman"/>
        </w:rPr>
        <w:t>latex</w:t>
      </w:r>
      <w:proofErr w:type="spellEnd"/>
      <w:r w:rsidRPr="008637D8">
        <w:rPr>
          <w:rFonts w:ascii="Times New Roman" w:hAnsi="Times New Roman" w:cs="Times New Roman"/>
        </w:rPr>
        <w:t>. La anafilaxia inducida por ejercicio y la idiopática (de causa desconocida) también se presentan, representando un desafío diagnóstico y terapéutico.</w:t>
      </w:r>
    </w:p>
    <w:p w14:paraId="2DE90D91" w14:textId="77777777" w:rsidR="008637D8" w:rsidRPr="008637D8" w:rsidRDefault="008637D8" w:rsidP="00F84474">
      <w:pPr>
        <w:spacing w:after="0" w:line="360" w:lineRule="auto"/>
        <w:jc w:val="both"/>
        <w:rPr>
          <w:rFonts w:ascii="Times New Roman" w:hAnsi="Times New Roman" w:cs="Times New Roman"/>
        </w:rPr>
      </w:pPr>
    </w:p>
    <w:p w14:paraId="60BA35E9"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4. Diagnóstico: Criterios Clínicos, Manifestaciones y Pruebas Complementarias</w:t>
      </w:r>
    </w:p>
    <w:p w14:paraId="62B31B5C" w14:textId="77777777" w:rsidR="008637D8" w:rsidRPr="008637D8" w:rsidRDefault="008637D8" w:rsidP="00F84474">
      <w:pPr>
        <w:spacing w:after="0" w:line="360" w:lineRule="auto"/>
        <w:jc w:val="both"/>
        <w:rPr>
          <w:rFonts w:ascii="Times New Roman" w:hAnsi="Times New Roman" w:cs="Times New Roman"/>
        </w:rPr>
      </w:pPr>
    </w:p>
    <w:p w14:paraId="0C2D91F6"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El diagnóstico de la anafilaxia es fundamentalmente clínico y se basa en los criterios antes mencionados. La presentación puede ser monofásica (un único episodio que se resuelve), bifásica (recurrencia de los síntomas tras una resolución aparente, usualmente dentro de las 1-72 horas) o prolongada.</w:t>
      </w:r>
    </w:p>
    <w:p w14:paraId="4B452F4E" w14:textId="77777777" w:rsidR="008637D8" w:rsidRPr="008637D8" w:rsidRDefault="008637D8" w:rsidP="00F84474">
      <w:pPr>
        <w:spacing w:after="0" w:line="360" w:lineRule="auto"/>
        <w:jc w:val="both"/>
        <w:rPr>
          <w:rFonts w:ascii="Times New Roman" w:hAnsi="Times New Roman" w:cs="Times New Roman"/>
        </w:rPr>
      </w:pPr>
    </w:p>
    <w:p w14:paraId="3834B23B"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Las manifestaciones clínicas son </w:t>
      </w:r>
      <w:proofErr w:type="spellStart"/>
      <w:r w:rsidRPr="008637D8">
        <w:rPr>
          <w:rFonts w:ascii="Times New Roman" w:hAnsi="Times New Roman" w:cs="Times New Roman"/>
        </w:rPr>
        <w:t>multisistémicas</w:t>
      </w:r>
      <w:proofErr w:type="spellEnd"/>
      <w:r w:rsidRPr="008637D8">
        <w:rPr>
          <w:rFonts w:ascii="Times New Roman" w:hAnsi="Times New Roman" w:cs="Times New Roman"/>
        </w:rPr>
        <w:t>:</w:t>
      </w:r>
    </w:p>
    <w:p w14:paraId="58A654AE" w14:textId="77777777" w:rsidR="008637D8" w:rsidRPr="008637D8" w:rsidRDefault="008637D8" w:rsidP="00F84474">
      <w:pPr>
        <w:spacing w:after="0" w:line="360" w:lineRule="auto"/>
        <w:jc w:val="both"/>
        <w:rPr>
          <w:rFonts w:ascii="Times New Roman" w:hAnsi="Times New Roman" w:cs="Times New Roman"/>
        </w:rPr>
      </w:pPr>
    </w:p>
    <w:p w14:paraId="000B697D"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Piel y mucosas: Urticaria, </w:t>
      </w:r>
      <w:proofErr w:type="spellStart"/>
      <w:r w:rsidRPr="008637D8">
        <w:rPr>
          <w:rFonts w:ascii="Times New Roman" w:hAnsi="Times New Roman" w:cs="Times New Roman"/>
        </w:rPr>
        <w:t>angioedema</w:t>
      </w:r>
      <w:proofErr w:type="spellEnd"/>
      <w:r w:rsidRPr="008637D8">
        <w:rPr>
          <w:rFonts w:ascii="Times New Roman" w:hAnsi="Times New Roman" w:cs="Times New Roman"/>
        </w:rPr>
        <w:t>, prurito, rubor (90% de los casos).</w:t>
      </w:r>
    </w:p>
    <w:p w14:paraId="50DA7E7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Respiratorias: </w:t>
      </w:r>
      <w:proofErr w:type="spellStart"/>
      <w:r w:rsidRPr="008637D8">
        <w:rPr>
          <w:rFonts w:ascii="Times New Roman" w:hAnsi="Times New Roman" w:cs="Times New Roman"/>
        </w:rPr>
        <w:t>Rinorrea</w:t>
      </w:r>
      <w:proofErr w:type="spellEnd"/>
      <w:r w:rsidRPr="008637D8">
        <w:rPr>
          <w:rFonts w:ascii="Times New Roman" w:hAnsi="Times New Roman" w:cs="Times New Roman"/>
        </w:rPr>
        <w:t>, estridor por edema laríngeo, disnea, sibilancias por broncoespasmo, hipoxia.</w:t>
      </w:r>
    </w:p>
    <w:p w14:paraId="69322220"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Cardiovasculares: Taquicardia, hipotensión, mareo, síncope, shock, paro cardiorrespiratorio.</w:t>
      </w:r>
    </w:p>
    <w:p w14:paraId="43540203"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Gastrointestinales: Náuseas, vómitos, dolor cólico, diarrea.</w:t>
      </w:r>
    </w:p>
    <w:p w14:paraId="08DE0582"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Otros: Sensación de muerte inminente, confusión, cefalea.</w:t>
      </w:r>
    </w:p>
    <w:p w14:paraId="48860C97" w14:textId="77777777" w:rsidR="008637D8" w:rsidRPr="008637D8" w:rsidRDefault="008637D8" w:rsidP="00F84474">
      <w:pPr>
        <w:spacing w:after="0" w:line="360" w:lineRule="auto"/>
        <w:jc w:val="both"/>
        <w:rPr>
          <w:rFonts w:ascii="Times New Roman" w:hAnsi="Times New Roman" w:cs="Times New Roman"/>
        </w:rPr>
      </w:pPr>
    </w:p>
    <w:p w14:paraId="599DD7D1"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Las pruebas complementarias tienen un rol secundario en la fase aguda, pero son esenciales en el seguimiento para confirmar el alérgeno responsable y prevenir recurrencias:</w:t>
      </w:r>
    </w:p>
    <w:p w14:paraId="176D5A66" w14:textId="77777777" w:rsidR="008637D8" w:rsidRPr="008637D8" w:rsidRDefault="008637D8" w:rsidP="00F84474">
      <w:pPr>
        <w:spacing w:after="0" w:line="360" w:lineRule="auto"/>
        <w:jc w:val="both"/>
        <w:rPr>
          <w:rFonts w:ascii="Times New Roman" w:hAnsi="Times New Roman" w:cs="Times New Roman"/>
        </w:rPr>
      </w:pPr>
    </w:p>
    <w:p w14:paraId="5931BCFE"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w:t>
      </w:r>
      <w:proofErr w:type="spellStart"/>
      <w:r w:rsidRPr="008637D8">
        <w:rPr>
          <w:rFonts w:ascii="Times New Roman" w:hAnsi="Times New Roman" w:cs="Times New Roman"/>
        </w:rPr>
        <w:t>Triptasa</w:t>
      </w:r>
      <w:proofErr w:type="spellEnd"/>
      <w:r w:rsidRPr="008637D8">
        <w:rPr>
          <w:rFonts w:ascii="Times New Roman" w:hAnsi="Times New Roman" w:cs="Times New Roman"/>
        </w:rPr>
        <w:t xml:space="preserve"> sérica: Su elevación (pico medido 1-2 horas después del inicio, y una línea basal posterior) apoya el diagnóstico, pero una </w:t>
      </w:r>
      <w:proofErr w:type="spellStart"/>
      <w:r w:rsidRPr="008637D8">
        <w:rPr>
          <w:rFonts w:ascii="Times New Roman" w:hAnsi="Times New Roman" w:cs="Times New Roman"/>
        </w:rPr>
        <w:t>triptasa</w:t>
      </w:r>
      <w:proofErr w:type="spellEnd"/>
      <w:r w:rsidRPr="008637D8">
        <w:rPr>
          <w:rFonts w:ascii="Times New Roman" w:hAnsi="Times New Roman" w:cs="Times New Roman"/>
        </w:rPr>
        <w:t xml:space="preserve"> normal no lo descarta, especialmente en anafilaxias por alimentos.</w:t>
      </w:r>
    </w:p>
    <w:p w14:paraId="642C301E"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Pruebas cutáneas (</w:t>
      </w:r>
      <w:proofErr w:type="spellStart"/>
      <w:r w:rsidRPr="008637D8">
        <w:rPr>
          <w:rFonts w:ascii="Times New Roman" w:hAnsi="Times New Roman" w:cs="Times New Roman"/>
        </w:rPr>
        <w:t>prick</w:t>
      </w:r>
      <w:proofErr w:type="spellEnd"/>
      <w:r w:rsidRPr="008637D8">
        <w:rPr>
          <w:rFonts w:ascii="Times New Roman" w:hAnsi="Times New Roman" w:cs="Times New Roman"/>
        </w:rPr>
        <w:t xml:space="preserve"> test) y pruebas de </w:t>
      </w:r>
      <w:proofErr w:type="spellStart"/>
      <w:r w:rsidRPr="008637D8">
        <w:rPr>
          <w:rFonts w:ascii="Times New Roman" w:hAnsi="Times New Roman" w:cs="Times New Roman"/>
        </w:rPr>
        <w:t>IgE</w:t>
      </w:r>
      <w:proofErr w:type="spellEnd"/>
      <w:r w:rsidRPr="008637D8">
        <w:rPr>
          <w:rFonts w:ascii="Times New Roman" w:hAnsi="Times New Roman" w:cs="Times New Roman"/>
        </w:rPr>
        <w:t xml:space="preserve"> específica en sangre: Son el pilar para identificar el desencadenante una vez el paciente se ha estabilizado, generalmente 4-6 semanas después del episodio.</w:t>
      </w:r>
    </w:p>
    <w:p w14:paraId="0E3ED28E"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lastRenderedPageBreak/>
        <w:t xml:space="preserve">· Prueba de provocación controlada: Considerada el </w:t>
      </w:r>
      <w:proofErr w:type="spellStart"/>
      <w:r w:rsidRPr="008637D8">
        <w:rPr>
          <w:rFonts w:ascii="Times New Roman" w:hAnsi="Times New Roman" w:cs="Times New Roman"/>
        </w:rPr>
        <w:t>gold</w:t>
      </w:r>
      <w:proofErr w:type="spellEnd"/>
      <w:r w:rsidRPr="008637D8">
        <w:rPr>
          <w:rFonts w:ascii="Times New Roman" w:hAnsi="Times New Roman" w:cs="Times New Roman"/>
        </w:rPr>
        <w:t xml:space="preserve"> standard, se realiza en entornos especializados cuando el diagnóstico es incierto.</w:t>
      </w:r>
    </w:p>
    <w:p w14:paraId="1B205B65" w14:textId="77777777" w:rsidR="008637D8" w:rsidRPr="008637D8" w:rsidRDefault="008637D8" w:rsidP="00F84474">
      <w:pPr>
        <w:spacing w:after="0" w:line="360" w:lineRule="auto"/>
        <w:jc w:val="both"/>
        <w:rPr>
          <w:rFonts w:ascii="Times New Roman" w:hAnsi="Times New Roman" w:cs="Times New Roman"/>
        </w:rPr>
      </w:pPr>
    </w:p>
    <w:p w14:paraId="435EE1F2"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5. Tratamiento: Intervención de Urgencia, Seguimiento y Prevención</w:t>
      </w:r>
    </w:p>
    <w:p w14:paraId="2A0ED9DB" w14:textId="77777777" w:rsidR="008637D8" w:rsidRPr="008637D8" w:rsidRDefault="008637D8" w:rsidP="00F84474">
      <w:pPr>
        <w:spacing w:after="0" w:line="360" w:lineRule="auto"/>
        <w:jc w:val="both"/>
        <w:rPr>
          <w:rFonts w:ascii="Times New Roman" w:hAnsi="Times New Roman" w:cs="Times New Roman"/>
        </w:rPr>
      </w:pPr>
    </w:p>
    <w:p w14:paraId="16C87157"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El manejo de la anafilaxia es una carrera contra el tiempo y se divide en tres fases críticas.</w:t>
      </w:r>
    </w:p>
    <w:p w14:paraId="22B0D4B9" w14:textId="77777777" w:rsidR="008637D8" w:rsidRPr="008637D8" w:rsidRDefault="008637D8" w:rsidP="00F84474">
      <w:pPr>
        <w:spacing w:after="0" w:line="360" w:lineRule="auto"/>
        <w:jc w:val="both"/>
        <w:rPr>
          <w:rFonts w:ascii="Times New Roman" w:hAnsi="Times New Roman" w:cs="Times New Roman"/>
        </w:rPr>
      </w:pPr>
    </w:p>
    <w:p w14:paraId="74DD86EF"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A. Intervención de Urgencia:</w:t>
      </w:r>
    </w:p>
    <w:p w14:paraId="718E74D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El tratamiento de primera línea </w:t>
      </w:r>
      <w:proofErr w:type="spellStart"/>
      <w:r w:rsidRPr="008637D8">
        <w:rPr>
          <w:rFonts w:ascii="Times New Roman" w:hAnsi="Times New Roman" w:cs="Times New Roman"/>
        </w:rPr>
        <w:t>einsustituible</w:t>
      </w:r>
      <w:proofErr w:type="spellEnd"/>
      <w:r w:rsidRPr="008637D8">
        <w:rPr>
          <w:rFonts w:ascii="Times New Roman" w:hAnsi="Times New Roman" w:cs="Times New Roman"/>
        </w:rPr>
        <w:t xml:space="preserve"> es la adrenalina intramuscular. Debe administrarse de inmediato ante la sospecha de anafilaxia.</w:t>
      </w:r>
    </w:p>
    <w:p w14:paraId="012512E2" w14:textId="77777777" w:rsidR="008637D8" w:rsidRPr="008637D8" w:rsidRDefault="008637D8" w:rsidP="00F84474">
      <w:pPr>
        <w:spacing w:after="0" w:line="360" w:lineRule="auto"/>
        <w:jc w:val="both"/>
        <w:rPr>
          <w:rFonts w:ascii="Times New Roman" w:hAnsi="Times New Roman" w:cs="Times New Roman"/>
        </w:rPr>
      </w:pPr>
    </w:p>
    <w:p w14:paraId="06521330"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Vía y dosis: Se aplica por vía intramuscular en la cara </w:t>
      </w:r>
      <w:proofErr w:type="spellStart"/>
      <w:r w:rsidRPr="008637D8">
        <w:rPr>
          <w:rFonts w:ascii="Times New Roman" w:hAnsi="Times New Roman" w:cs="Times New Roman"/>
        </w:rPr>
        <w:t>anterolateral</w:t>
      </w:r>
      <w:proofErr w:type="spellEnd"/>
      <w:r w:rsidRPr="008637D8">
        <w:rPr>
          <w:rFonts w:ascii="Times New Roman" w:hAnsi="Times New Roman" w:cs="Times New Roman"/>
        </w:rPr>
        <w:t xml:space="preserve"> del muslo (músculo vasto lateral), ya que ofrece una absorción más rápida y segura que la subcutánea. La dosis estándar es de 0,01 mg/kg (máximo 0,5 mg en adultos y 0,3 mg en niños pequeños), repetible cada 5-15 minutos si no hay mejoría.</w:t>
      </w:r>
    </w:p>
    <w:p w14:paraId="15B6DCED"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Acción: La adrenalina actúa contrarrestando todos los mecanismos fisiopatológicos: es un vasoconstrictor que revierte la hipotensión y el edema, un broncodilatador que alivia el </w:t>
      </w:r>
      <w:proofErr w:type="spellStart"/>
      <w:r w:rsidRPr="008637D8">
        <w:rPr>
          <w:rFonts w:ascii="Times New Roman" w:hAnsi="Times New Roman" w:cs="Times New Roman"/>
        </w:rPr>
        <w:t>distress</w:t>
      </w:r>
      <w:proofErr w:type="spellEnd"/>
      <w:r w:rsidRPr="008637D8">
        <w:rPr>
          <w:rFonts w:ascii="Times New Roman" w:hAnsi="Times New Roman" w:cs="Times New Roman"/>
        </w:rPr>
        <w:t xml:space="preserve"> respiratorio y un </w:t>
      </w:r>
      <w:proofErr w:type="spellStart"/>
      <w:r w:rsidRPr="008637D8">
        <w:rPr>
          <w:rFonts w:ascii="Times New Roman" w:hAnsi="Times New Roman" w:cs="Times New Roman"/>
        </w:rPr>
        <w:t>cronotrópico</w:t>
      </w:r>
      <w:proofErr w:type="spellEnd"/>
      <w:r w:rsidRPr="008637D8">
        <w:rPr>
          <w:rFonts w:ascii="Times New Roman" w:hAnsi="Times New Roman" w:cs="Times New Roman"/>
        </w:rPr>
        <w:t>/inotrópico positivo que soporta la función cardíaca.</w:t>
      </w:r>
    </w:p>
    <w:p w14:paraId="23462FD4"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Las medidas coadyuvantes incluyen:</w:t>
      </w:r>
    </w:p>
    <w:p w14:paraId="56A58AEE"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Posicionar al paciente en decúbito supino con las piernas elevadas (si está consciente y sin </w:t>
      </w:r>
      <w:proofErr w:type="spellStart"/>
      <w:r w:rsidRPr="008637D8">
        <w:rPr>
          <w:rFonts w:ascii="Times New Roman" w:hAnsi="Times New Roman" w:cs="Times New Roman"/>
        </w:rPr>
        <w:t>distress</w:t>
      </w:r>
      <w:proofErr w:type="spellEnd"/>
      <w:r w:rsidRPr="008637D8">
        <w:rPr>
          <w:rFonts w:ascii="Times New Roman" w:hAnsi="Times New Roman" w:cs="Times New Roman"/>
        </w:rPr>
        <w:t xml:space="preserve"> respiratorio).</w:t>
      </w:r>
    </w:p>
    <w:p w14:paraId="27CFA36B"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Oxígeno suplementario de alto flujo.</w:t>
      </w:r>
    </w:p>
    <w:p w14:paraId="63BCFEA9"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w:t>
      </w:r>
      <w:proofErr w:type="spellStart"/>
      <w:r w:rsidRPr="008637D8">
        <w:rPr>
          <w:rFonts w:ascii="Times New Roman" w:hAnsi="Times New Roman" w:cs="Times New Roman"/>
        </w:rPr>
        <w:t>Fluidoterapia</w:t>
      </w:r>
      <w:proofErr w:type="spellEnd"/>
      <w:r w:rsidRPr="008637D8">
        <w:rPr>
          <w:rFonts w:ascii="Times New Roman" w:hAnsi="Times New Roman" w:cs="Times New Roman"/>
        </w:rPr>
        <w:t xml:space="preserve"> intravenosa con soluciones cristaloides para expandir el volumen </w:t>
      </w:r>
      <w:proofErr w:type="spellStart"/>
      <w:r w:rsidRPr="008637D8">
        <w:rPr>
          <w:rFonts w:ascii="Times New Roman" w:hAnsi="Times New Roman" w:cs="Times New Roman"/>
        </w:rPr>
        <w:t>intravascular</w:t>
      </w:r>
      <w:proofErr w:type="spellEnd"/>
      <w:r w:rsidRPr="008637D8">
        <w:rPr>
          <w:rFonts w:ascii="Times New Roman" w:hAnsi="Times New Roman" w:cs="Times New Roman"/>
        </w:rPr>
        <w:t>.</w:t>
      </w:r>
    </w:p>
    <w:p w14:paraId="64827B79"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Antihistamínicos H1 (ej., </w:t>
      </w:r>
      <w:proofErr w:type="spellStart"/>
      <w:r w:rsidRPr="008637D8">
        <w:rPr>
          <w:rFonts w:ascii="Times New Roman" w:hAnsi="Times New Roman" w:cs="Times New Roman"/>
        </w:rPr>
        <w:t>difenhidramina</w:t>
      </w:r>
      <w:proofErr w:type="spellEnd"/>
      <w:r w:rsidRPr="008637D8">
        <w:rPr>
          <w:rFonts w:ascii="Times New Roman" w:hAnsi="Times New Roman" w:cs="Times New Roman"/>
        </w:rPr>
        <w:t xml:space="preserve">) y H2 (ej., </w:t>
      </w:r>
      <w:proofErr w:type="spellStart"/>
      <w:r w:rsidRPr="008637D8">
        <w:rPr>
          <w:rFonts w:ascii="Times New Roman" w:hAnsi="Times New Roman" w:cs="Times New Roman"/>
        </w:rPr>
        <w:t>ranitidina</w:t>
      </w:r>
      <w:proofErr w:type="spellEnd"/>
      <w:r w:rsidRPr="008637D8">
        <w:rPr>
          <w:rFonts w:ascii="Times New Roman" w:hAnsi="Times New Roman" w:cs="Times New Roman"/>
        </w:rPr>
        <w:t>) para síntomas cutáneos.</w:t>
      </w:r>
    </w:p>
    <w:p w14:paraId="7CC7C83D"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w:t>
      </w:r>
      <w:proofErr w:type="spellStart"/>
      <w:r w:rsidRPr="008637D8">
        <w:rPr>
          <w:rFonts w:ascii="Times New Roman" w:hAnsi="Times New Roman" w:cs="Times New Roman"/>
        </w:rPr>
        <w:t>Corticosteroides</w:t>
      </w:r>
      <w:proofErr w:type="spellEnd"/>
      <w:r w:rsidRPr="008637D8">
        <w:rPr>
          <w:rFonts w:ascii="Times New Roman" w:hAnsi="Times New Roman" w:cs="Times New Roman"/>
        </w:rPr>
        <w:t xml:space="preserve"> (ej., </w:t>
      </w:r>
      <w:proofErr w:type="spellStart"/>
      <w:r w:rsidRPr="008637D8">
        <w:rPr>
          <w:rFonts w:ascii="Times New Roman" w:hAnsi="Times New Roman" w:cs="Times New Roman"/>
        </w:rPr>
        <w:t>metilprednisolona</w:t>
      </w:r>
      <w:proofErr w:type="spellEnd"/>
      <w:r w:rsidRPr="008637D8">
        <w:rPr>
          <w:rFonts w:ascii="Times New Roman" w:hAnsi="Times New Roman" w:cs="Times New Roman"/>
        </w:rPr>
        <w:t>) para prevenir la reacción bifásica, aunque su evidencia es limitada.</w:t>
      </w:r>
    </w:p>
    <w:p w14:paraId="1759D2F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Es crucial destacar que los antihistamínicos y los </w:t>
      </w:r>
      <w:proofErr w:type="spellStart"/>
      <w:r w:rsidRPr="008637D8">
        <w:rPr>
          <w:rFonts w:ascii="Times New Roman" w:hAnsi="Times New Roman" w:cs="Times New Roman"/>
        </w:rPr>
        <w:t>corticoidesNO</w:t>
      </w:r>
      <w:proofErr w:type="spellEnd"/>
      <w:r w:rsidRPr="008637D8">
        <w:rPr>
          <w:rFonts w:ascii="Times New Roman" w:hAnsi="Times New Roman" w:cs="Times New Roman"/>
        </w:rPr>
        <w:t xml:space="preserve"> son tratamientos de primera línea y NUNCA deben sustituir a la adrenalina.</w:t>
      </w:r>
    </w:p>
    <w:p w14:paraId="6BFED226" w14:textId="77777777" w:rsidR="008637D8" w:rsidRPr="008637D8" w:rsidRDefault="008637D8" w:rsidP="00F84474">
      <w:pPr>
        <w:spacing w:after="0" w:line="360" w:lineRule="auto"/>
        <w:jc w:val="both"/>
        <w:rPr>
          <w:rFonts w:ascii="Times New Roman" w:hAnsi="Times New Roman" w:cs="Times New Roman"/>
        </w:rPr>
      </w:pPr>
    </w:p>
    <w:p w14:paraId="29D0F125"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B. Seguimiento y Prevención:</w:t>
      </w:r>
    </w:p>
    <w:p w14:paraId="4FBFDD26"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lastRenderedPageBreak/>
        <w:t xml:space="preserve">Tras la </w:t>
      </w:r>
      <w:proofErr w:type="spellStart"/>
      <w:r w:rsidRPr="008637D8">
        <w:rPr>
          <w:rFonts w:ascii="Times New Roman" w:hAnsi="Times New Roman" w:cs="Times New Roman"/>
        </w:rPr>
        <w:t>estabilización,el</w:t>
      </w:r>
      <w:proofErr w:type="spellEnd"/>
      <w:r w:rsidRPr="008637D8">
        <w:rPr>
          <w:rFonts w:ascii="Times New Roman" w:hAnsi="Times New Roman" w:cs="Times New Roman"/>
        </w:rPr>
        <w:t xml:space="preserve"> paciente debe ser remitido a un alergólogo. El seguimiento incluye:</w:t>
      </w:r>
    </w:p>
    <w:p w14:paraId="0E93EA4D" w14:textId="77777777" w:rsidR="008637D8" w:rsidRPr="008637D8" w:rsidRDefault="008637D8" w:rsidP="00F84474">
      <w:pPr>
        <w:spacing w:after="0" w:line="360" w:lineRule="auto"/>
        <w:jc w:val="both"/>
        <w:rPr>
          <w:rFonts w:ascii="Times New Roman" w:hAnsi="Times New Roman" w:cs="Times New Roman"/>
        </w:rPr>
      </w:pPr>
    </w:p>
    <w:p w14:paraId="5B904A3D"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Identificación certera del desencadenante mediante pruebas alérgicas.</w:t>
      </w:r>
    </w:p>
    <w:p w14:paraId="497CDDD3"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Educación del paciente y su familia: Enseñanza sobre evitación estricta del alérgeno, reconocimiento de síntomas y manejo de un nuevo episodio.</w:t>
      </w:r>
    </w:p>
    <w:p w14:paraId="5656D56C"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Prescripción de un Plan de Acción de Anafilaxia: Documento escrito, preferiblemente con pictogramas, que indica los pasos a seguir en caso de </w:t>
      </w:r>
      <w:proofErr w:type="spellStart"/>
      <w:r w:rsidRPr="008637D8">
        <w:rPr>
          <w:rFonts w:ascii="Times New Roman" w:hAnsi="Times New Roman" w:cs="Times New Roman"/>
        </w:rPr>
        <w:t>reexposición</w:t>
      </w:r>
      <w:proofErr w:type="spellEnd"/>
      <w:r w:rsidRPr="008637D8">
        <w:rPr>
          <w:rFonts w:ascii="Times New Roman" w:hAnsi="Times New Roman" w:cs="Times New Roman"/>
        </w:rPr>
        <w:t>.</w:t>
      </w:r>
    </w:p>
    <w:p w14:paraId="5C466E0B"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Prescripción de </w:t>
      </w:r>
      <w:proofErr w:type="spellStart"/>
      <w:r w:rsidRPr="008637D8">
        <w:rPr>
          <w:rFonts w:ascii="Times New Roman" w:hAnsi="Times New Roman" w:cs="Times New Roman"/>
        </w:rPr>
        <w:t>autoinyectores</w:t>
      </w:r>
      <w:proofErr w:type="spellEnd"/>
      <w:r w:rsidRPr="008637D8">
        <w:rPr>
          <w:rFonts w:ascii="Times New Roman" w:hAnsi="Times New Roman" w:cs="Times New Roman"/>
        </w:rPr>
        <w:t xml:space="preserve"> de adrenalina: Se deben recetar mínimo dos dispositivos para que el paciente los lleve consigo en todo momento. Esto es fundamental para la prevención de la mortalidad.</w:t>
      </w:r>
    </w:p>
    <w:p w14:paraId="14F885B9" w14:textId="77777777" w:rsidR="008637D8" w:rsidRPr="008637D8" w:rsidRDefault="008637D8" w:rsidP="00F84474">
      <w:pPr>
        <w:spacing w:after="0" w:line="360" w:lineRule="auto"/>
        <w:jc w:val="both"/>
        <w:rPr>
          <w:rFonts w:ascii="Times New Roman" w:hAnsi="Times New Roman" w:cs="Times New Roman"/>
        </w:rPr>
      </w:pPr>
    </w:p>
    <w:p w14:paraId="1D2EC900"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6. Aspectos Particulares para Latinoamérica</w:t>
      </w:r>
    </w:p>
    <w:p w14:paraId="26E1C0B8" w14:textId="77777777" w:rsidR="008637D8" w:rsidRPr="008637D8" w:rsidRDefault="008637D8" w:rsidP="00F84474">
      <w:pPr>
        <w:spacing w:after="0" w:line="360" w:lineRule="auto"/>
        <w:jc w:val="both"/>
        <w:rPr>
          <w:rFonts w:ascii="Times New Roman" w:hAnsi="Times New Roman" w:cs="Times New Roman"/>
        </w:rPr>
      </w:pPr>
    </w:p>
    <w:p w14:paraId="3DAB23C4"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La realidad latinoamericana impone retos específicos en el manejo de la anafilaxia:</w:t>
      </w:r>
    </w:p>
    <w:p w14:paraId="6987F6A2" w14:textId="77777777" w:rsidR="008637D8" w:rsidRPr="008637D8" w:rsidRDefault="008637D8" w:rsidP="00F84474">
      <w:pPr>
        <w:spacing w:after="0" w:line="360" w:lineRule="auto"/>
        <w:jc w:val="both"/>
        <w:rPr>
          <w:rFonts w:ascii="Times New Roman" w:hAnsi="Times New Roman" w:cs="Times New Roman"/>
        </w:rPr>
      </w:pPr>
    </w:p>
    <w:p w14:paraId="200D9C4A"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Disponibilidad y Costo de los </w:t>
      </w:r>
      <w:proofErr w:type="spellStart"/>
      <w:r w:rsidRPr="008637D8">
        <w:rPr>
          <w:rFonts w:ascii="Times New Roman" w:hAnsi="Times New Roman" w:cs="Times New Roman"/>
        </w:rPr>
        <w:t>Autoinyectores</w:t>
      </w:r>
      <w:proofErr w:type="spellEnd"/>
      <w:r w:rsidRPr="008637D8">
        <w:rPr>
          <w:rFonts w:ascii="Times New Roman" w:hAnsi="Times New Roman" w:cs="Times New Roman"/>
        </w:rPr>
        <w:t xml:space="preserve">: Este es, quizás, el mayor obstáculo. Los </w:t>
      </w:r>
      <w:proofErr w:type="spellStart"/>
      <w:r w:rsidRPr="008637D8">
        <w:rPr>
          <w:rFonts w:ascii="Times New Roman" w:hAnsi="Times New Roman" w:cs="Times New Roman"/>
        </w:rPr>
        <w:t>autoinyectores</w:t>
      </w:r>
      <w:proofErr w:type="spellEnd"/>
      <w:r w:rsidRPr="008637D8">
        <w:rPr>
          <w:rFonts w:ascii="Times New Roman" w:hAnsi="Times New Roman" w:cs="Times New Roman"/>
        </w:rPr>
        <w:t xml:space="preserve"> son escasos, tienen un costo prohibitivo para la mayoría de la población y, a menudo, no están incluidos en los sistemas de salud pública. Esto fuerza a los médicos y pacientes a depender de jeringas con adrenalina, lo que genera ansiedad y errores en la dosificación y administración.</w:t>
      </w:r>
    </w:p>
    <w:p w14:paraId="45318AE4"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Adaptación de Guías Internacionales: Las guías de consenso internacional (ej., WAO, AAAAI) requieren una contextualización que considere la disponibilidad de recursos, los desencadenantes locales y las barreras socioeconómicas. Es necesario desarrollar y promover guías latinoamericanas prácticas y realistas.</w:t>
      </w:r>
    </w:p>
    <w:p w14:paraId="18AA15A9"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Retos Sistémicos: Se incluyen la desigualdad en el acceso a servicios de alergología (concentrados en grandes ciudades), la falta de educación continua para médicos de primer contacto y personal de urgencias, y el </w:t>
      </w:r>
      <w:proofErr w:type="spellStart"/>
      <w:r w:rsidRPr="008637D8">
        <w:rPr>
          <w:rFonts w:ascii="Times New Roman" w:hAnsi="Times New Roman" w:cs="Times New Roman"/>
        </w:rPr>
        <w:t>subregistro</w:t>
      </w:r>
      <w:proofErr w:type="spellEnd"/>
      <w:r w:rsidRPr="008637D8">
        <w:rPr>
          <w:rFonts w:ascii="Times New Roman" w:hAnsi="Times New Roman" w:cs="Times New Roman"/>
        </w:rPr>
        <w:t xml:space="preserve"> que impide dimensionar correctamente el problema para asignar recursos.</w:t>
      </w:r>
    </w:p>
    <w:p w14:paraId="500DBD26"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 Oportunidades: Existe una creciente concienciación entre los profesionales de la salud. Sociedades científicas como la SLAAI (Sociedad Latinoamericana de Alergia, Asma e </w:t>
      </w:r>
      <w:r w:rsidRPr="008637D8">
        <w:rPr>
          <w:rFonts w:ascii="Times New Roman" w:hAnsi="Times New Roman" w:cs="Times New Roman"/>
        </w:rPr>
        <w:lastRenderedPageBreak/>
        <w:t>Inmunología) trabajan activamente en la capacitación y la unificación de criterios. La telemedicina emerge como una herramienta valiosa para llegar a poblaciones remotas.</w:t>
      </w:r>
    </w:p>
    <w:p w14:paraId="3A1E42F5" w14:textId="77777777" w:rsidR="008637D8" w:rsidRPr="008637D8" w:rsidRDefault="008637D8" w:rsidP="00F84474">
      <w:pPr>
        <w:spacing w:after="0" w:line="360" w:lineRule="auto"/>
        <w:jc w:val="both"/>
        <w:rPr>
          <w:rFonts w:ascii="Times New Roman" w:hAnsi="Times New Roman" w:cs="Times New Roman"/>
        </w:rPr>
      </w:pPr>
    </w:p>
    <w:p w14:paraId="35FB76EA"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7. Reflexión Final</w:t>
      </w:r>
    </w:p>
    <w:p w14:paraId="0B0DB48B" w14:textId="77777777" w:rsidR="008637D8" w:rsidRPr="008637D8" w:rsidRDefault="008637D8" w:rsidP="00F84474">
      <w:pPr>
        <w:spacing w:after="0" w:line="360" w:lineRule="auto"/>
        <w:jc w:val="both"/>
        <w:rPr>
          <w:rFonts w:ascii="Times New Roman" w:hAnsi="Times New Roman" w:cs="Times New Roman"/>
        </w:rPr>
      </w:pPr>
    </w:p>
    <w:p w14:paraId="27D4018E"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La anafilaxia es una condición que encapsula la esencia de la medicina: la integración del conocimiento científico agudo con el manejo crónico y la educación preventiva. El rol del alergólogo y del equipo de salud es primordial y multifacético. Somos </w:t>
      </w:r>
      <w:proofErr w:type="spellStart"/>
      <w:r w:rsidRPr="008637D8">
        <w:rPr>
          <w:rFonts w:ascii="Times New Roman" w:hAnsi="Times New Roman" w:cs="Times New Roman"/>
        </w:rPr>
        <w:t>diagnosticadores</w:t>
      </w:r>
      <w:proofErr w:type="spellEnd"/>
      <w:r w:rsidRPr="008637D8">
        <w:rPr>
          <w:rFonts w:ascii="Times New Roman" w:hAnsi="Times New Roman" w:cs="Times New Roman"/>
        </w:rPr>
        <w:t xml:space="preserve"> precisos, terapeutas urgentes y, sobre todo, educadores </w:t>
      </w:r>
      <w:proofErr w:type="spellStart"/>
      <w:r w:rsidRPr="008637D8">
        <w:rPr>
          <w:rFonts w:ascii="Times New Roman" w:hAnsi="Times New Roman" w:cs="Times New Roman"/>
        </w:rPr>
        <w:t>empoderadores</w:t>
      </w:r>
      <w:proofErr w:type="spellEnd"/>
      <w:r w:rsidRPr="008637D8">
        <w:rPr>
          <w:rFonts w:ascii="Times New Roman" w:hAnsi="Times New Roman" w:cs="Times New Roman"/>
        </w:rPr>
        <w:t>.</w:t>
      </w:r>
    </w:p>
    <w:p w14:paraId="0B4C5BE3" w14:textId="77777777" w:rsidR="008637D8" w:rsidRPr="008637D8" w:rsidRDefault="008637D8" w:rsidP="00F84474">
      <w:pPr>
        <w:spacing w:after="0" w:line="360" w:lineRule="auto"/>
        <w:jc w:val="both"/>
        <w:rPr>
          <w:rFonts w:ascii="Times New Roman" w:hAnsi="Times New Roman" w:cs="Times New Roman"/>
        </w:rPr>
      </w:pPr>
    </w:p>
    <w:p w14:paraId="0B6DC8E4"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 xml:space="preserve">En mi práctica clínica (o futura práctica), aplicar este conocimiento se traduciría en una serie de acciones concretas. Primero, priorizaría la educación continua, no solo de los pacientes, sino también de colegas de otras especialidades y de los equipos de enfermería, enfatizando que la adrenalina es el único tratamiento que salva vidas. Segundo, abogaría con tenacidad por la prescripción sistemática de </w:t>
      </w:r>
      <w:proofErr w:type="spellStart"/>
      <w:r w:rsidRPr="008637D8">
        <w:rPr>
          <w:rFonts w:ascii="Times New Roman" w:hAnsi="Times New Roman" w:cs="Times New Roman"/>
        </w:rPr>
        <w:t>autoinyectores</w:t>
      </w:r>
      <w:proofErr w:type="spellEnd"/>
      <w:r w:rsidRPr="008637D8">
        <w:rPr>
          <w:rFonts w:ascii="Times New Roman" w:hAnsi="Times New Roman" w:cs="Times New Roman"/>
        </w:rPr>
        <w:t>, explorando todas las vías posibles (seguros públicos/privados, programas de acceso) para que mis pacientes puedan tenerlos. Tercero, desarrollaría planes de acción personalizados y culturalmente adaptados, que sean fáciles de entender y aplicar, incluso para personas con bajos niveles de alfabetización. Finalmente, me involucraría en la investigación y la docencia, contribuyendo a generar datos epidemiológicos locales y a formar a las nuevas generaciones de médicos con una visión clara y práctica de este problema.</w:t>
      </w:r>
    </w:p>
    <w:p w14:paraId="0DC099DD" w14:textId="77777777" w:rsidR="008637D8" w:rsidRPr="008637D8" w:rsidRDefault="008637D8" w:rsidP="00F84474">
      <w:pPr>
        <w:spacing w:after="0" w:line="360" w:lineRule="auto"/>
        <w:jc w:val="both"/>
        <w:rPr>
          <w:rFonts w:ascii="Times New Roman" w:hAnsi="Times New Roman" w:cs="Times New Roman"/>
        </w:rPr>
      </w:pPr>
    </w:p>
    <w:p w14:paraId="30DB6E41" w14:textId="77777777" w:rsidR="008637D8" w:rsidRPr="008637D8" w:rsidRDefault="008637D8" w:rsidP="00F84474">
      <w:pPr>
        <w:spacing w:after="0" w:line="360" w:lineRule="auto"/>
        <w:jc w:val="both"/>
        <w:rPr>
          <w:rFonts w:ascii="Times New Roman" w:hAnsi="Times New Roman" w:cs="Times New Roman"/>
        </w:rPr>
      </w:pPr>
      <w:r w:rsidRPr="008637D8">
        <w:rPr>
          <w:rFonts w:ascii="Times New Roman" w:hAnsi="Times New Roman" w:cs="Times New Roman"/>
        </w:rPr>
        <w:t>La anafilaxia en Latinoamérica no es solo un desafío médico; es un test de la capacidad de nuestros sistemas de salud para responder a emergencias prevenibles. Como futuros guardianes de la salud, tenemos la responsabilidad de transformar el conocimiento en acción, asegurando que cada paciente con riesgo de anafilaxia tenga la oportunidad de vivir una vida plena y segura. La diferencia entre un desenlace trágico y una historia de supervivencia puede residir en una dosis oportuna de adrenalina y en la educación que brindemos.</w:t>
      </w:r>
    </w:p>
    <w:sectPr w:rsidR="008637D8" w:rsidRPr="008637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517" w14:textId="77777777" w:rsidR="005F10FC" w:rsidRDefault="005F10FC" w:rsidP="008637D8">
      <w:pPr>
        <w:spacing w:after="0" w:line="240" w:lineRule="auto"/>
      </w:pPr>
      <w:r>
        <w:separator/>
      </w:r>
    </w:p>
  </w:endnote>
  <w:endnote w:type="continuationSeparator" w:id="0">
    <w:p w14:paraId="7CB13DEA" w14:textId="77777777" w:rsidR="005F10FC" w:rsidRDefault="005F10FC" w:rsidP="0086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00BF" w14:textId="77777777" w:rsidR="005F10FC" w:rsidRDefault="005F10FC" w:rsidP="008637D8">
      <w:pPr>
        <w:spacing w:after="0" w:line="240" w:lineRule="auto"/>
      </w:pPr>
      <w:r>
        <w:separator/>
      </w:r>
    </w:p>
  </w:footnote>
  <w:footnote w:type="continuationSeparator" w:id="0">
    <w:p w14:paraId="73D4195D" w14:textId="77777777" w:rsidR="005F10FC" w:rsidRDefault="005F10FC" w:rsidP="00863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D8"/>
    <w:rsid w:val="005F10FC"/>
    <w:rsid w:val="00797223"/>
    <w:rsid w:val="008637D8"/>
    <w:rsid w:val="008A26E2"/>
    <w:rsid w:val="00971C6F"/>
    <w:rsid w:val="00F8447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5E62C16"/>
  <w15:chartTrackingRefBased/>
  <w15:docId w15:val="{DD594C84-1212-E54B-86F6-015FAAAC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3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7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7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7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7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7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7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7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7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7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7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7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7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7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7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7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7D8"/>
    <w:rPr>
      <w:rFonts w:eastAsiaTheme="majorEastAsia" w:cstheme="majorBidi"/>
      <w:color w:val="272727" w:themeColor="text1" w:themeTint="D8"/>
    </w:rPr>
  </w:style>
  <w:style w:type="paragraph" w:styleId="Ttulo">
    <w:name w:val="Title"/>
    <w:basedOn w:val="Normal"/>
    <w:next w:val="Normal"/>
    <w:link w:val="TtuloCar"/>
    <w:uiPriority w:val="10"/>
    <w:qFormat/>
    <w:rsid w:val="00863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7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7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7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7D8"/>
    <w:pPr>
      <w:spacing w:before="160"/>
      <w:jc w:val="center"/>
    </w:pPr>
    <w:rPr>
      <w:i/>
      <w:iCs/>
      <w:color w:val="404040" w:themeColor="text1" w:themeTint="BF"/>
    </w:rPr>
  </w:style>
  <w:style w:type="character" w:customStyle="1" w:styleId="CitaCar">
    <w:name w:val="Cita Car"/>
    <w:basedOn w:val="Fuentedeprrafopredeter"/>
    <w:link w:val="Cita"/>
    <w:uiPriority w:val="29"/>
    <w:rsid w:val="008637D8"/>
    <w:rPr>
      <w:i/>
      <w:iCs/>
      <w:color w:val="404040" w:themeColor="text1" w:themeTint="BF"/>
    </w:rPr>
  </w:style>
  <w:style w:type="paragraph" w:styleId="Prrafodelista">
    <w:name w:val="List Paragraph"/>
    <w:basedOn w:val="Normal"/>
    <w:uiPriority w:val="34"/>
    <w:qFormat/>
    <w:rsid w:val="008637D8"/>
    <w:pPr>
      <w:ind w:left="720"/>
      <w:contextualSpacing/>
    </w:pPr>
  </w:style>
  <w:style w:type="character" w:styleId="nfasisintenso">
    <w:name w:val="Intense Emphasis"/>
    <w:basedOn w:val="Fuentedeprrafopredeter"/>
    <w:uiPriority w:val="21"/>
    <w:qFormat/>
    <w:rsid w:val="008637D8"/>
    <w:rPr>
      <w:i/>
      <w:iCs/>
      <w:color w:val="0F4761" w:themeColor="accent1" w:themeShade="BF"/>
    </w:rPr>
  </w:style>
  <w:style w:type="paragraph" w:styleId="Citadestacada">
    <w:name w:val="Intense Quote"/>
    <w:basedOn w:val="Normal"/>
    <w:next w:val="Normal"/>
    <w:link w:val="CitadestacadaCar"/>
    <w:uiPriority w:val="30"/>
    <w:qFormat/>
    <w:rsid w:val="00863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7D8"/>
    <w:rPr>
      <w:i/>
      <w:iCs/>
      <w:color w:val="0F4761" w:themeColor="accent1" w:themeShade="BF"/>
    </w:rPr>
  </w:style>
  <w:style w:type="character" w:styleId="Referenciaintensa">
    <w:name w:val="Intense Reference"/>
    <w:basedOn w:val="Fuentedeprrafopredeter"/>
    <w:uiPriority w:val="32"/>
    <w:qFormat/>
    <w:rsid w:val="008637D8"/>
    <w:rPr>
      <w:b/>
      <w:bCs/>
      <w:smallCaps/>
      <w:color w:val="0F4761" w:themeColor="accent1" w:themeShade="BF"/>
      <w:spacing w:val="5"/>
    </w:rPr>
  </w:style>
  <w:style w:type="paragraph" w:styleId="Encabezado">
    <w:name w:val="header"/>
    <w:basedOn w:val="Normal"/>
    <w:link w:val="EncabezadoCar"/>
    <w:uiPriority w:val="99"/>
    <w:unhideWhenUsed/>
    <w:rsid w:val="00863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7D8"/>
  </w:style>
  <w:style w:type="paragraph" w:styleId="Piedepgina">
    <w:name w:val="footer"/>
    <w:basedOn w:val="Normal"/>
    <w:link w:val="PiedepginaCar"/>
    <w:uiPriority w:val="99"/>
    <w:unhideWhenUsed/>
    <w:rsid w:val="00863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2089</Words>
  <Characters>11493</Characters>
  <Application>Microsoft Office Word</Application>
  <DocSecurity>0</DocSecurity>
  <Lines>95</Lines>
  <Paragraphs>27</Paragraphs>
  <ScaleCrop>false</ScaleCrop>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Trejo</dc:creator>
  <cp:keywords/>
  <dc:description/>
  <cp:lastModifiedBy>Fabián Trejo</cp:lastModifiedBy>
  <cp:revision>5</cp:revision>
  <dcterms:created xsi:type="dcterms:W3CDTF">2025-11-24T00:43:00Z</dcterms:created>
  <dcterms:modified xsi:type="dcterms:W3CDTF">2025-11-24T00:46:00Z</dcterms:modified>
</cp:coreProperties>
</file>