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16A9" w:rsidRPr="002365C2" w:rsidRDefault="00F416A9" w:rsidP="00F416A9">
      <w:pPr>
        <w:spacing w:line="360" w:lineRule="auto"/>
        <w:rPr>
          <w:rFonts w:ascii="Gill Sans MT" w:hAnsi="Gill Sans MT"/>
          <w:color w:val="1F4E79"/>
        </w:rPr>
      </w:pPr>
    </w:p>
    <w:p w:rsidR="00F416A9" w:rsidRPr="002365C2" w:rsidRDefault="00F416A9" w:rsidP="00F416A9">
      <w:pPr>
        <w:spacing w:line="360" w:lineRule="auto"/>
        <w:rPr>
          <w:rFonts w:ascii="Gill Sans MT" w:hAnsi="Gill Sans MT"/>
          <w:color w:val="1F4E79"/>
        </w:rPr>
      </w:pPr>
    </w:p>
    <w:p w:rsidR="00F416A9" w:rsidRPr="002365C2" w:rsidRDefault="00F416A9" w:rsidP="00F416A9">
      <w:pPr>
        <w:spacing w:line="360" w:lineRule="auto"/>
        <w:jc w:val="center"/>
        <w:rPr>
          <w:rFonts w:ascii="Gill Sans MT" w:hAnsi="Gill Sans MT"/>
          <w:color w:val="1F4E79"/>
        </w:rPr>
      </w:pPr>
      <w:r>
        <w:rPr>
          <w:rFonts w:ascii="Gill Sans MT" w:hAnsi="Gill Sans MT"/>
          <w:noProof/>
          <w:color w:val="1F4E79"/>
        </w:rPr>
        <w:drawing>
          <wp:inline distT="0" distB="0" distL="0" distR="0" wp14:anchorId="666C4B58" wp14:editId="63936BF3">
            <wp:extent cx="5612130" cy="2438400"/>
            <wp:effectExtent l="0" t="0" r="7620" b="0"/>
            <wp:docPr id="5426749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74922" name="Imagen 542674922"/>
                    <pic:cNvPicPr/>
                  </pic:nvPicPr>
                  <pic:blipFill rotWithShape="1">
                    <a:blip r:embed="rId4">
                      <a:extLst>
                        <a:ext uri="{28A0092B-C50C-407E-A947-70E740481C1C}">
                          <a14:useLocalDpi xmlns:a14="http://schemas.microsoft.com/office/drawing/2010/main" val="0"/>
                        </a:ext>
                      </a:extLst>
                    </a:blip>
                    <a:srcRect t="24565" b="31459"/>
                    <a:stretch>
                      <a:fillRect/>
                    </a:stretch>
                  </pic:blipFill>
                  <pic:spPr bwMode="auto">
                    <a:xfrm>
                      <a:off x="0" y="0"/>
                      <a:ext cx="5612130" cy="2438400"/>
                    </a:xfrm>
                    <a:prstGeom prst="rect">
                      <a:avLst/>
                    </a:prstGeom>
                    <a:ln>
                      <a:noFill/>
                    </a:ln>
                    <a:extLst>
                      <a:ext uri="{53640926-AAD7-44D8-BBD7-CCE9431645EC}">
                        <a14:shadowObscured xmlns:a14="http://schemas.microsoft.com/office/drawing/2010/main"/>
                      </a:ext>
                    </a:extLst>
                  </pic:spPr>
                </pic:pic>
              </a:graphicData>
            </a:graphic>
          </wp:inline>
        </w:drawing>
      </w:r>
    </w:p>
    <w:p w:rsidR="00F416A9" w:rsidRDefault="00F416A9" w:rsidP="00F416A9">
      <w:pPr>
        <w:tabs>
          <w:tab w:val="left" w:pos="3220"/>
        </w:tabs>
        <w:spacing w:line="360" w:lineRule="auto"/>
        <w:jc w:val="right"/>
        <w:rPr>
          <w:rFonts w:ascii="Gill Sans MT" w:hAnsi="Gill Sans MT"/>
          <w:b/>
          <w:color w:val="1F4E79"/>
          <w:sz w:val="72"/>
          <w:szCs w:val="72"/>
        </w:rPr>
      </w:pPr>
    </w:p>
    <w:p w:rsidR="00F416A9" w:rsidRPr="001A0E7A" w:rsidRDefault="00F416A9" w:rsidP="00F416A9">
      <w:pPr>
        <w:tabs>
          <w:tab w:val="left" w:pos="3220"/>
        </w:tabs>
        <w:spacing w:line="360" w:lineRule="auto"/>
        <w:rPr>
          <w:rFonts w:ascii="Gill Sans MT" w:hAnsi="Gill Sans MT"/>
          <w:bCs/>
          <w:color w:val="1F4E79"/>
          <w:sz w:val="28"/>
          <w:szCs w:val="28"/>
        </w:rPr>
      </w:pPr>
      <w:r w:rsidRPr="001A0E7A">
        <w:rPr>
          <w:rFonts w:ascii="Gill Sans MT" w:hAnsi="Gill Sans MT"/>
          <w:bCs/>
          <w:color w:val="1F4E79"/>
          <w:sz w:val="28"/>
          <w:szCs w:val="28"/>
        </w:rPr>
        <w:t>Nombre del alumno: Luis Daniel Nolasco González</w:t>
      </w:r>
    </w:p>
    <w:p w:rsidR="00F416A9" w:rsidRPr="001A0E7A" w:rsidRDefault="00F416A9" w:rsidP="00F416A9">
      <w:pPr>
        <w:tabs>
          <w:tab w:val="left" w:pos="3220"/>
        </w:tabs>
        <w:spacing w:line="360" w:lineRule="auto"/>
        <w:rPr>
          <w:rFonts w:ascii="Gill Sans MT" w:hAnsi="Gill Sans MT"/>
          <w:bCs/>
          <w:color w:val="1F4E79"/>
          <w:sz w:val="28"/>
          <w:szCs w:val="28"/>
        </w:rPr>
      </w:pPr>
      <w:r w:rsidRPr="001A0E7A">
        <w:rPr>
          <w:rFonts w:ascii="Gill Sans MT" w:hAnsi="Gill Sans MT"/>
          <w:bCs/>
          <w:color w:val="1F4E79"/>
          <w:sz w:val="28"/>
          <w:szCs w:val="28"/>
        </w:rPr>
        <w:t xml:space="preserve">Nombre del Tema: </w:t>
      </w:r>
      <w:r>
        <w:rPr>
          <w:rFonts w:ascii="Gill Sans MT" w:hAnsi="Gill Sans MT"/>
          <w:bCs/>
          <w:color w:val="1F4E79"/>
          <w:sz w:val="28"/>
          <w:szCs w:val="28"/>
        </w:rPr>
        <w:t>Caso Clinico</w:t>
      </w:r>
    </w:p>
    <w:p w:rsidR="00F416A9" w:rsidRPr="001A0E7A" w:rsidRDefault="00F416A9" w:rsidP="00F416A9">
      <w:pPr>
        <w:tabs>
          <w:tab w:val="left" w:pos="3220"/>
        </w:tabs>
        <w:spacing w:line="360" w:lineRule="auto"/>
        <w:rPr>
          <w:rFonts w:ascii="Gill Sans MT" w:hAnsi="Gill Sans MT"/>
          <w:bCs/>
          <w:color w:val="1F4E79"/>
          <w:sz w:val="28"/>
          <w:szCs w:val="28"/>
        </w:rPr>
      </w:pPr>
      <w:r w:rsidRPr="001A0E7A">
        <w:rPr>
          <w:rFonts w:ascii="Gill Sans MT" w:hAnsi="Gill Sans MT"/>
          <w:bCs/>
          <w:color w:val="1F4E79"/>
          <w:sz w:val="28"/>
          <w:szCs w:val="28"/>
        </w:rPr>
        <w:t>Parcial: 1er</w:t>
      </w:r>
    </w:p>
    <w:p w:rsidR="00F416A9" w:rsidRPr="001A0E7A" w:rsidRDefault="00F416A9" w:rsidP="00F416A9">
      <w:pPr>
        <w:tabs>
          <w:tab w:val="left" w:pos="3220"/>
        </w:tabs>
        <w:spacing w:line="360" w:lineRule="auto"/>
        <w:rPr>
          <w:rFonts w:ascii="Gill Sans MT" w:hAnsi="Gill Sans MT"/>
          <w:bCs/>
          <w:color w:val="1F4E79"/>
          <w:sz w:val="28"/>
          <w:szCs w:val="28"/>
        </w:rPr>
      </w:pPr>
      <w:r w:rsidRPr="001A0E7A">
        <w:rPr>
          <w:rFonts w:ascii="Gill Sans MT" w:hAnsi="Gill Sans MT"/>
          <w:bCs/>
          <w:color w:val="1F4E79"/>
          <w:sz w:val="28"/>
          <w:szCs w:val="28"/>
        </w:rPr>
        <w:t xml:space="preserve">Nombre de la materia: Fisiopatologia II </w:t>
      </w:r>
    </w:p>
    <w:p w:rsidR="00F416A9" w:rsidRPr="001A0E7A" w:rsidRDefault="00F416A9" w:rsidP="00F416A9">
      <w:pPr>
        <w:tabs>
          <w:tab w:val="left" w:pos="3220"/>
        </w:tabs>
        <w:spacing w:line="360" w:lineRule="auto"/>
        <w:rPr>
          <w:rFonts w:ascii="Gill Sans MT" w:hAnsi="Gill Sans MT"/>
          <w:bCs/>
          <w:color w:val="1F4E79"/>
          <w:sz w:val="28"/>
          <w:szCs w:val="28"/>
        </w:rPr>
      </w:pPr>
      <w:r w:rsidRPr="001A0E7A">
        <w:rPr>
          <w:rFonts w:ascii="Gill Sans MT" w:hAnsi="Gill Sans MT"/>
          <w:bCs/>
          <w:color w:val="1F4E79"/>
          <w:sz w:val="28"/>
          <w:szCs w:val="28"/>
        </w:rPr>
        <w:t>Nombre del Profesor: Dr. Guillermo del Solar Villareal</w:t>
      </w:r>
    </w:p>
    <w:p w:rsidR="00F416A9" w:rsidRPr="001A0E7A" w:rsidRDefault="00F416A9" w:rsidP="00F416A9">
      <w:pPr>
        <w:tabs>
          <w:tab w:val="left" w:pos="3220"/>
        </w:tabs>
        <w:spacing w:line="360" w:lineRule="auto"/>
        <w:rPr>
          <w:rFonts w:ascii="Gill Sans MT" w:hAnsi="Gill Sans MT"/>
          <w:bCs/>
          <w:color w:val="1F4E79"/>
          <w:sz w:val="28"/>
          <w:szCs w:val="28"/>
        </w:rPr>
      </w:pPr>
      <w:r w:rsidRPr="001A0E7A">
        <w:rPr>
          <w:rFonts w:ascii="Gill Sans MT" w:hAnsi="Gill Sans MT"/>
          <w:bCs/>
          <w:color w:val="1F4E79"/>
          <w:sz w:val="28"/>
          <w:szCs w:val="28"/>
        </w:rPr>
        <w:t>Nombre de la licenciatura: Medicina Humana</w:t>
      </w:r>
    </w:p>
    <w:p w:rsidR="00F416A9" w:rsidRPr="00F416A9" w:rsidRDefault="00F416A9" w:rsidP="00F416A9">
      <w:pPr>
        <w:tabs>
          <w:tab w:val="left" w:pos="5760"/>
        </w:tabs>
        <w:jc w:val="both"/>
        <w:rPr>
          <w:rFonts w:ascii="Garamond" w:hAnsi="Garamond"/>
          <w:sz w:val="96"/>
          <w:szCs w:val="96"/>
        </w:rPr>
      </w:pPr>
      <w:r>
        <w:rPr>
          <w:rFonts w:ascii="Gill Sans MT" w:eastAsia="Calibri" w:hAnsi="Gill Sans MT" w:cs="Times New Roman"/>
          <w:noProof/>
          <w:lang w:eastAsia="es-MX"/>
        </w:rPr>
        <w:br w:type="page"/>
      </w:r>
    </w:p>
    <w:p w:rsidR="00F416A9" w:rsidRPr="00F416A9" w:rsidRDefault="00F416A9" w:rsidP="00F416A9">
      <w:pPr>
        <w:jc w:val="both"/>
        <w:rPr>
          <w:b/>
          <w:bCs/>
        </w:rPr>
      </w:pPr>
      <w:r w:rsidRPr="00F416A9">
        <w:rPr>
          <w:b/>
          <w:bCs/>
        </w:rPr>
        <w:lastRenderedPageBreak/>
        <w:t>INTRODUCCIÓN</w:t>
      </w:r>
    </w:p>
    <w:p w:rsidR="00F416A9" w:rsidRDefault="00F416A9" w:rsidP="00F416A9">
      <w:pPr>
        <w:jc w:val="both"/>
      </w:pPr>
    </w:p>
    <w:p w:rsidR="00F416A9" w:rsidRPr="00F416A9" w:rsidRDefault="00F416A9" w:rsidP="00F416A9">
      <w:pPr>
        <w:jc w:val="both"/>
      </w:pPr>
      <w:r w:rsidRPr="00F416A9">
        <w:t>La hipertensión arterial (HTA) es una enfermedad crónica caracterizada por la elevación sostenida de las cifras de presión arterial por encima de los valores considerados normales (≥140/90 mmHg en la mayoría de las guías). Representa uno de los principales problemas de salud pública a nivel mundial por su alta prevalencia y su estrecha relación con complicaciones cardiovasculares, cerebrovasculares y renales.</w:t>
      </w:r>
    </w:p>
    <w:p w:rsidR="00F416A9" w:rsidRPr="00F416A9" w:rsidRDefault="00F416A9" w:rsidP="00F416A9">
      <w:pPr>
        <w:jc w:val="both"/>
      </w:pPr>
      <w:r w:rsidRPr="00F416A9">
        <w:t>Entre los factores de riesgo para su desarrollo se incluyen la edad avanzada, obesidad, sedentarismo, dieta rica en sodio y grasas, consumo de alcohol y tabaco, antecedentes familiares de hipertensión, así como la presencia de comorbilidades como diabetes mellitus, dislipidemia y enfermedad renal crónica. Sin embargo, en pacientes jóvenes debe considerarse la posibilidad de causas secundarias de hipertensión, como alteraciones endocrinas, renales o vasculares.</w:t>
      </w:r>
    </w:p>
    <w:p w:rsidR="00F416A9" w:rsidRPr="00F416A9" w:rsidRDefault="00F416A9" w:rsidP="00F416A9">
      <w:pPr>
        <w:jc w:val="both"/>
      </w:pPr>
      <w:r w:rsidRPr="00F416A9">
        <w:t>La fisiopatología de la HTA es multifactorial. En la hipertensión esencial, se relaciona con la activación inapropiada del sistema nervioso simpático, el sistema renina-angiotensina-aldosterona (SRAA), la disfunción endotelial y la alteración de la autorregulación renal. Estas modificaciones producen aumento de la resistencia vascular periférica, remodelado vascular y sobrecarga cardíaca. En la hipertensión secundaria, la elevación de la presión arterial se debe a una causa identificable, como estenosis de la arteria renal, feocromocitoma, hiperaldosteronismo primario o enfermedades inflamatorias vasculares, en las que el compromiso anatómico o funcional del sistema cardiovascular conduce directamente a la elevación tensional.</w:t>
      </w:r>
    </w:p>
    <w:p w:rsidR="00AC7E05" w:rsidRDefault="00AC7E05" w:rsidP="00F416A9">
      <w:pPr>
        <w:jc w:val="both"/>
      </w:pPr>
    </w:p>
    <w:p w:rsidR="00F416A9" w:rsidRPr="00F416A9" w:rsidRDefault="00F416A9" w:rsidP="00F416A9">
      <w:pPr>
        <w:spacing w:before="100" w:beforeAutospacing="1" w:after="100" w:afterAutospacing="1"/>
        <w:jc w:val="both"/>
        <w:outlineLvl w:val="2"/>
        <w:rPr>
          <w:rFonts w:ascii="Times New Roman" w:eastAsia="Times New Roman" w:hAnsi="Times New Roman" w:cs="Times New Roman"/>
          <w:b/>
          <w:bCs/>
          <w:kern w:val="0"/>
          <w:sz w:val="27"/>
          <w:szCs w:val="27"/>
          <w:lang w:eastAsia="es-MX"/>
          <w14:ligatures w14:val="none"/>
        </w:rPr>
      </w:pPr>
      <w:r w:rsidRPr="00F416A9">
        <w:rPr>
          <w:rFonts w:ascii="Times New Roman" w:eastAsia="Times New Roman" w:hAnsi="Times New Roman" w:cs="Times New Roman"/>
          <w:b/>
          <w:bCs/>
          <w:kern w:val="0"/>
          <w:sz w:val="27"/>
          <w:szCs w:val="27"/>
          <w:lang w:eastAsia="es-MX"/>
          <w14:ligatures w14:val="none"/>
        </w:rPr>
        <w:t>1. Perspectiva inicial (Atención primaria / enfoque común)</w:t>
      </w:r>
    </w:p>
    <w:p w:rsidR="00F416A9" w:rsidRPr="00F416A9" w:rsidRDefault="00F416A9" w:rsidP="00F416A9">
      <w:pPr>
        <w:spacing w:before="100" w:beforeAutospacing="1" w:after="100" w:afterAutospacing="1"/>
        <w:jc w:val="both"/>
        <w:rPr>
          <w:rFonts w:ascii="Times New Roman" w:eastAsia="Times New Roman" w:hAnsi="Times New Roman" w:cs="Times New Roman"/>
          <w:kern w:val="0"/>
          <w:lang w:eastAsia="es-MX"/>
          <w14:ligatures w14:val="none"/>
        </w:rPr>
      </w:pPr>
      <w:r w:rsidRPr="00F416A9">
        <w:rPr>
          <w:rFonts w:ascii="Times New Roman" w:eastAsia="Times New Roman" w:hAnsi="Times New Roman" w:cs="Times New Roman"/>
          <w:kern w:val="0"/>
          <w:lang w:eastAsia="es-MX"/>
          <w14:ligatures w14:val="none"/>
        </w:rPr>
        <w:t xml:space="preserve">Desde el primer nivel de atención, el cuadro clínico de la paciente (palpitaciones, nerviosismo, rubicundez facial, estrés laboral) pudo interpretarse como </w:t>
      </w:r>
      <w:r w:rsidRPr="00F416A9">
        <w:rPr>
          <w:rFonts w:ascii="Times New Roman" w:eastAsia="Times New Roman" w:hAnsi="Times New Roman" w:cs="Times New Roman"/>
          <w:b/>
          <w:bCs/>
          <w:kern w:val="0"/>
          <w:lang w:eastAsia="es-MX"/>
          <w14:ligatures w14:val="none"/>
        </w:rPr>
        <w:t>hipertensión arterial esencial asociada a factores emocionales</w:t>
      </w:r>
      <w:r w:rsidRPr="00F416A9">
        <w:rPr>
          <w:rFonts w:ascii="Times New Roman" w:eastAsia="Times New Roman" w:hAnsi="Times New Roman" w:cs="Times New Roman"/>
          <w:kern w:val="0"/>
          <w:lang w:eastAsia="es-MX"/>
          <w14:ligatures w14:val="none"/>
        </w:rPr>
        <w:t>. El médico de atención primaria adoptó esta postura, vinculando los síntomas a ansiedad y estrés, lo que justificó el uso inicial de ansiolíticos y posteriormente un antihipertensivo de primera línea (amlodipino). Este abordaje es habitual en pacientes jóvenes sin antecedentes personales relevantes, donde las causas secundarias de hipertensión suelen considerarse menos frecuentes. Sin embargo, la falta de respuesta terapéutica y la persistencia de síntomas atípicos obligaron a ampliar el estudio.</w:t>
      </w:r>
    </w:p>
    <w:p w:rsidR="00F416A9" w:rsidRPr="00F416A9" w:rsidRDefault="00F416A9" w:rsidP="00F416A9">
      <w:pPr>
        <w:spacing w:before="100" w:beforeAutospacing="1" w:after="100" w:afterAutospacing="1"/>
        <w:jc w:val="both"/>
        <w:outlineLvl w:val="2"/>
        <w:rPr>
          <w:rFonts w:ascii="Times New Roman" w:eastAsia="Times New Roman" w:hAnsi="Times New Roman" w:cs="Times New Roman"/>
          <w:b/>
          <w:bCs/>
          <w:kern w:val="0"/>
          <w:sz w:val="27"/>
          <w:szCs w:val="27"/>
          <w:lang w:eastAsia="es-MX"/>
          <w14:ligatures w14:val="none"/>
        </w:rPr>
      </w:pPr>
      <w:r w:rsidRPr="00F416A9">
        <w:rPr>
          <w:rFonts w:ascii="Times New Roman" w:eastAsia="Times New Roman" w:hAnsi="Times New Roman" w:cs="Times New Roman"/>
          <w:b/>
          <w:bCs/>
          <w:kern w:val="0"/>
          <w:sz w:val="27"/>
          <w:szCs w:val="27"/>
          <w:lang w:eastAsia="es-MX"/>
          <w14:ligatures w14:val="none"/>
        </w:rPr>
        <w:t>2. Perspectiva especializada (Medicina interna / enfoque etiológico)</w:t>
      </w:r>
    </w:p>
    <w:p w:rsidR="00F416A9" w:rsidRPr="00F416A9" w:rsidRDefault="00F416A9" w:rsidP="00F416A9">
      <w:pPr>
        <w:spacing w:before="100" w:beforeAutospacing="1" w:after="100" w:afterAutospacing="1"/>
        <w:jc w:val="both"/>
        <w:rPr>
          <w:rFonts w:ascii="Times New Roman" w:eastAsia="Times New Roman" w:hAnsi="Times New Roman" w:cs="Times New Roman"/>
          <w:kern w:val="0"/>
          <w:lang w:eastAsia="es-MX"/>
          <w14:ligatures w14:val="none"/>
        </w:rPr>
      </w:pPr>
      <w:r w:rsidRPr="00F416A9">
        <w:rPr>
          <w:rFonts w:ascii="Times New Roman" w:eastAsia="Times New Roman" w:hAnsi="Times New Roman" w:cs="Times New Roman"/>
          <w:kern w:val="0"/>
          <w:lang w:eastAsia="es-MX"/>
          <w14:ligatures w14:val="none"/>
        </w:rPr>
        <w:t xml:space="preserve">En el nivel hospitalario, la persistencia de HTA severa y refractaria al tratamiento, acompañada de pérdida de peso, dolor dorsolumbar, deterioro de función renal y hallazgos de imagen compatibles con engrosamiento aórtico y estenosis de la arteria renal, orientaron hacia una </w:t>
      </w:r>
      <w:r w:rsidRPr="00F416A9">
        <w:rPr>
          <w:rFonts w:ascii="Times New Roman" w:eastAsia="Times New Roman" w:hAnsi="Times New Roman" w:cs="Times New Roman"/>
          <w:b/>
          <w:bCs/>
          <w:kern w:val="0"/>
          <w:lang w:eastAsia="es-MX"/>
          <w14:ligatures w14:val="none"/>
        </w:rPr>
        <w:t>hipertensión secundaria de origen renovascular</w:t>
      </w:r>
      <w:r w:rsidRPr="00F416A9">
        <w:rPr>
          <w:rFonts w:ascii="Times New Roman" w:eastAsia="Times New Roman" w:hAnsi="Times New Roman" w:cs="Times New Roman"/>
          <w:kern w:val="0"/>
          <w:lang w:eastAsia="es-MX"/>
          <w14:ligatures w14:val="none"/>
        </w:rPr>
        <w:t xml:space="preserve">. La confirmación radiológica de aortitis abdominal permitió establecer el diagnóstico de </w:t>
      </w:r>
      <w:r w:rsidRPr="00F416A9">
        <w:rPr>
          <w:rFonts w:ascii="Times New Roman" w:eastAsia="Times New Roman" w:hAnsi="Times New Roman" w:cs="Times New Roman"/>
          <w:b/>
          <w:bCs/>
          <w:kern w:val="0"/>
          <w:lang w:eastAsia="es-MX"/>
          <w14:ligatures w14:val="none"/>
        </w:rPr>
        <w:t>Arteritis de Takayasu</w:t>
      </w:r>
      <w:r w:rsidRPr="00F416A9">
        <w:rPr>
          <w:rFonts w:ascii="Times New Roman" w:eastAsia="Times New Roman" w:hAnsi="Times New Roman" w:cs="Times New Roman"/>
          <w:kern w:val="0"/>
          <w:lang w:eastAsia="es-MX"/>
          <w14:ligatures w14:val="none"/>
        </w:rPr>
        <w:t xml:space="preserve">, una vasculitis granulomatosa crónica que afecta a grandes vasos, produciendo estenosis y disminución del flujo renal, lo que activa el SRAA y perpetúa la hipertensión. Desde esta </w:t>
      </w:r>
      <w:r w:rsidRPr="00F416A9">
        <w:rPr>
          <w:rFonts w:ascii="Times New Roman" w:eastAsia="Times New Roman" w:hAnsi="Times New Roman" w:cs="Times New Roman"/>
          <w:kern w:val="0"/>
          <w:lang w:eastAsia="es-MX"/>
          <w14:ligatures w14:val="none"/>
        </w:rPr>
        <w:lastRenderedPageBreak/>
        <w:t>perspectiva, el abordaje requiere no solo control tensional, sino también tratamiento inmunosupresor y seguimiento multidisciplinario para prevenir complicaciones vasculares mayores.</w:t>
      </w:r>
    </w:p>
    <w:p w:rsidR="00F416A9" w:rsidRPr="00F416A9" w:rsidRDefault="00F416A9" w:rsidP="00F416A9">
      <w:pPr>
        <w:jc w:val="both"/>
      </w:pPr>
    </w:p>
    <w:sectPr w:rsidR="00F416A9" w:rsidRPr="00F416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Gill Sans MT">
    <w:altName w:val="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05"/>
    <w:rsid w:val="00AC7E05"/>
    <w:rsid w:val="00F41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1FC7721"/>
  <w15:chartTrackingRefBased/>
  <w15:docId w15:val="{3683FD84-4F5F-7F45-9BC2-1AB696C6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F416A9"/>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AC7E05"/>
    <w:rPr>
      <w:rFonts w:ascii="Helvetica" w:eastAsia="Times New Roman" w:hAnsi="Helvetica" w:cs="Times New Roman"/>
      <w:color w:val="000000"/>
      <w:kern w:val="0"/>
      <w:sz w:val="17"/>
      <w:szCs w:val="17"/>
      <w:lang w:eastAsia="es-MX"/>
      <w14:ligatures w14:val="none"/>
    </w:rPr>
  </w:style>
  <w:style w:type="paragraph" w:customStyle="1" w:styleId="p2">
    <w:name w:val="p2"/>
    <w:basedOn w:val="Normal"/>
    <w:rsid w:val="00AC7E05"/>
    <w:rPr>
      <w:rFonts w:ascii="Helvetica Neue" w:eastAsia="Times New Roman" w:hAnsi="Helvetica Neue" w:cs="Times New Roman"/>
      <w:color w:val="CB001D"/>
      <w:kern w:val="0"/>
      <w:sz w:val="18"/>
      <w:szCs w:val="18"/>
      <w:lang w:eastAsia="es-MX"/>
      <w14:ligatures w14:val="none"/>
    </w:rPr>
  </w:style>
  <w:style w:type="character" w:customStyle="1" w:styleId="s1">
    <w:name w:val="s1"/>
    <w:basedOn w:val="Fuentedeprrafopredeter"/>
    <w:rsid w:val="00AC7E05"/>
    <w:rPr>
      <w:rFonts w:ascii="Helvetica Neue" w:hAnsi="Helvetica Neue" w:hint="default"/>
      <w:color w:val="FFFFFF"/>
      <w:sz w:val="17"/>
      <w:szCs w:val="17"/>
    </w:rPr>
  </w:style>
  <w:style w:type="character" w:customStyle="1" w:styleId="s2">
    <w:name w:val="s2"/>
    <w:basedOn w:val="Fuentedeprrafopredeter"/>
    <w:rsid w:val="00AC7E05"/>
    <w:rPr>
      <w:rFonts w:ascii="Helvetica Neue Light" w:hAnsi="Helvetica Neue Light" w:hint="default"/>
      <w:sz w:val="18"/>
      <w:szCs w:val="18"/>
    </w:rPr>
  </w:style>
  <w:style w:type="character" w:customStyle="1" w:styleId="s3">
    <w:name w:val="s3"/>
    <w:basedOn w:val="Fuentedeprrafopredeter"/>
    <w:rsid w:val="00AC7E05"/>
    <w:rPr>
      <w:rFonts w:ascii="Helvetica Neue" w:hAnsi="Helvetica Neue" w:hint="default"/>
      <w:color w:val="253D5F"/>
      <w:sz w:val="32"/>
      <w:szCs w:val="32"/>
    </w:rPr>
  </w:style>
  <w:style w:type="character" w:customStyle="1" w:styleId="s4">
    <w:name w:val="s4"/>
    <w:basedOn w:val="Fuentedeprrafopredeter"/>
    <w:rsid w:val="00AC7E05"/>
    <w:rPr>
      <w:rFonts w:ascii="Helvetica Neue" w:hAnsi="Helvetica Neue" w:hint="default"/>
      <w:sz w:val="20"/>
      <w:szCs w:val="20"/>
    </w:rPr>
  </w:style>
  <w:style w:type="paragraph" w:styleId="NormalWeb">
    <w:name w:val="Normal (Web)"/>
    <w:basedOn w:val="Normal"/>
    <w:uiPriority w:val="99"/>
    <w:semiHidden/>
    <w:unhideWhenUsed/>
    <w:rsid w:val="00F416A9"/>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F416A9"/>
    <w:rPr>
      <w:b/>
      <w:bCs/>
    </w:rPr>
  </w:style>
  <w:style w:type="character" w:customStyle="1" w:styleId="Ttulo3Car">
    <w:name w:val="Título 3 Car"/>
    <w:basedOn w:val="Fuentedeprrafopredeter"/>
    <w:link w:val="Ttulo3"/>
    <w:uiPriority w:val="9"/>
    <w:rsid w:val="00F416A9"/>
    <w:rPr>
      <w:rFonts w:ascii="Times New Roman" w:eastAsia="Times New Roman" w:hAnsi="Times New Roman" w:cs="Times New Roman"/>
      <w:b/>
      <w:bCs/>
      <w:kern w:val="0"/>
      <w:sz w:val="27"/>
      <w:szCs w:val="27"/>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0889">
      <w:bodyDiv w:val="1"/>
      <w:marLeft w:val="0"/>
      <w:marRight w:val="0"/>
      <w:marTop w:val="0"/>
      <w:marBottom w:val="0"/>
      <w:divBdr>
        <w:top w:val="none" w:sz="0" w:space="0" w:color="auto"/>
        <w:left w:val="none" w:sz="0" w:space="0" w:color="auto"/>
        <w:bottom w:val="none" w:sz="0" w:space="0" w:color="auto"/>
        <w:right w:val="none" w:sz="0" w:space="0" w:color="auto"/>
      </w:divBdr>
    </w:div>
    <w:div w:id="319233075">
      <w:bodyDiv w:val="1"/>
      <w:marLeft w:val="0"/>
      <w:marRight w:val="0"/>
      <w:marTop w:val="0"/>
      <w:marBottom w:val="0"/>
      <w:divBdr>
        <w:top w:val="none" w:sz="0" w:space="0" w:color="auto"/>
        <w:left w:val="none" w:sz="0" w:space="0" w:color="auto"/>
        <w:bottom w:val="none" w:sz="0" w:space="0" w:color="auto"/>
        <w:right w:val="none" w:sz="0" w:space="0" w:color="auto"/>
      </w:divBdr>
    </w:div>
    <w:div w:id="153250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540</Words>
  <Characters>2975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nolasco</dc:creator>
  <cp:keywords/>
  <dc:description/>
  <cp:lastModifiedBy>daniel nolasco</cp:lastModifiedBy>
  <cp:revision>1</cp:revision>
  <dcterms:created xsi:type="dcterms:W3CDTF">2025-09-13T02:47:00Z</dcterms:created>
  <dcterms:modified xsi:type="dcterms:W3CDTF">2025-09-13T03:02:00Z</dcterms:modified>
</cp:coreProperties>
</file>