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jc w:val="both"/>
      </w:pPr>
      <w:r>
        <w:drawing>
          <wp:anchor distT="0" distB="0" distL="114300" distR="114300" simplePos="0" relativeHeight="251659264" behindDoc="1" locked="0" layoutInCell="1" allowOverlap="1">
            <wp:simplePos x="0" y="0"/>
            <wp:positionH relativeFrom="column">
              <wp:posOffset>1471930</wp:posOffset>
            </wp:positionH>
            <wp:positionV relativeFrom="paragraph">
              <wp:posOffset>-52705</wp:posOffset>
            </wp:positionV>
            <wp:extent cx="3014980" cy="3014980"/>
            <wp:effectExtent l="0" t="0" r="0" b="0"/>
            <wp:wrapThrough wrapText="bothSides">
              <wp:wrapPolygon>
                <wp:start x="0" y="0"/>
                <wp:lineTo x="0" y="21564"/>
                <wp:lineTo x="21564" y="21564"/>
                <wp:lineTo x="2156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a:stretch>
                      <a:fillRect/>
                    </a:stretch>
                  </pic:blipFill>
                  <pic:spPr>
                    <a:xfrm>
                      <a:off x="0" y="0"/>
                      <a:ext cx="3014980" cy="3014980"/>
                    </a:xfrm>
                    <a:prstGeom prst="rect">
                      <a:avLst/>
                    </a:prstGeom>
                    <a:noFill/>
                    <a:ln>
                      <a:noFill/>
                    </a:ln>
                  </pic:spPr>
                </pic:pic>
              </a:graphicData>
            </a:graphic>
          </wp:anchor>
        </w:drawing>
      </w:r>
    </w:p>
    <w:p>
      <w:pPr>
        <w:pStyle w:val="36"/>
        <w:jc w:val="both"/>
      </w:pPr>
    </w:p>
    <w:p>
      <w:pPr>
        <w:pStyle w:val="36"/>
        <w:jc w:val="both"/>
      </w:pPr>
    </w:p>
    <w:p>
      <w:pPr>
        <w:pStyle w:val="36"/>
        <w:jc w:val="both"/>
      </w:pPr>
    </w:p>
    <w:p>
      <w:pPr>
        <w:pStyle w:val="36"/>
        <w:jc w:val="both"/>
      </w:pPr>
    </w:p>
    <w:p>
      <w:pPr>
        <w:pStyle w:val="36"/>
        <w:jc w:val="both"/>
        <w:rPr>
          <w:rFonts w:hint="default"/>
        </w:rPr>
      </w:pPr>
    </w:p>
    <w:p>
      <w:pPr>
        <w:pStyle w:val="36"/>
        <w:jc w:val="center"/>
        <w:rPr>
          <w:rFonts w:hint="default"/>
        </w:rPr>
      </w:pPr>
      <w:r>
        <w:rPr>
          <w:rFonts w:hint="default"/>
        </w:rPr>
        <w:t>SEM BENJAMIN VAZQUEZ IBARIAS</w:t>
      </w:r>
    </w:p>
    <w:p>
      <w:pPr>
        <w:jc w:val="center"/>
        <w:rPr>
          <w:rFonts w:hint="default"/>
        </w:rPr>
      </w:pPr>
      <w:r>
        <w:rPr>
          <w:rFonts w:hint="default"/>
        </w:rPr>
        <w:t>MEDICINA FORENCE</w:t>
      </w:r>
    </w:p>
    <w:p>
      <w:pPr>
        <w:jc w:val="center"/>
        <w:rPr>
          <w:rFonts w:hint="default"/>
        </w:rPr>
      </w:pPr>
      <w:r>
        <w:rPr>
          <w:rFonts w:hint="default"/>
        </w:rPr>
        <w:t>DRA. IRMA SANCHEZ PRIETO</w:t>
      </w:r>
    </w:p>
    <w:p>
      <w:pPr>
        <w:jc w:val="center"/>
        <w:rPr>
          <w:rFonts w:hint="default"/>
        </w:rPr>
      </w:pPr>
      <w:r>
        <w:rPr>
          <w:rFonts w:hint="default"/>
        </w:rPr>
        <w:t>1 PARCIAL</w:t>
      </w:r>
    </w:p>
    <w:p>
      <w:pPr>
        <w:jc w:val="center"/>
        <w:rPr>
          <w:rFonts w:hint="default"/>
        </w:rPr>
      </w:pPr>
      <w:r>
        <w:rPr>
          <w:rFonts w:hint="default"/>
        </w:rPr>
        <w:t>5 SEMESTRE</w:t>
      </w:r>
    </w:p>
    <w:p>
      <w:pPr>
        <w:jc w:val="center"/>
        <w:rPr>
          <w:rFonts w:hint="default"/>
        </w:rPr>
      </w:pPr>
      <w:r>
        <w:rPr>
          <w:rFonts w:hint="default"/>
        </w:rPr>
        <w:t>LICENCIATURA EN MEDICINA HUMANA</w:t>
      </w:r>
    </w:p>
    <w:p>
      <w:pPr>
        <w:pStyle w:val="36"/>
        <w:jc w:val="both"/>
      </w:pPr>
    </w:p>
    <w:p>
      <w:pPr>
        <w:pStyle w:val="36"/>
        <w:jc w:val="both"/>
      </w:pPr>
    </w:p>
    <w:p>
      <w:pPr>
        <w:pStyle w:val="36"/>
        <w:jc w:val="both"/>
      </w:pPr>
    </w:p>
    <w:p>
      <w:pPr>
        <w:pStyle w:val="36"/>
        <w:jc w:val="both"/>
      </w:pPr>
    </w:p>
    <w:p>
      <w:pPr>
        <w:pStyle w:val="36"/>
        <w:jc w:val="both"/>
      </w:pPr>
      <w:r>
        <w:t>Diagnóstico de la muerte y cronotanatodiagnóstico: revisión crítica entre métodos clásicos y perspectivas modernas.</w:t>
      </w:r>
    </w:p>
    <w:p>
      <w:pPr>
        <w:pStyle w:val="2"/>
      </w:pPr>
      <w:r>
        <w:t>Introducción</w:t>
      </w:r>
    </w:p>
    <w:p>
      <w:pPr>
        <w:spacing w:line="360" w:lineRule="auto"/>
        <w:jc w:val="both"/>
      </w:pPr>
      <w:r>
        <w:rPr>
          <w:rFonts w:hint="default" w:ascii="AndroidClock" w:hAnsi="AndroidClock" w:cs="AndroidClock"/>
        </w:rPr>
        <w:t>El diagnóstico certero de la muerte ha sido una preocupación médica, legal y social desde la antigüedad. Con el desarrollo de la medicina legal en los siglos XIX y XX, se consolidaron múltiples pruebas destinadas a certificar la muerte y estimar la data de la misma. Obras clásicas, como el 'Tratado sobre el cadáver' de Ismael Alvarado Martínez, recopilan estas técnicas con un enfoque práctico y didáctico. Sin embargo, la evolución del conocimiento médico ha permitido validar algunos de estos métodos y descartar otros por su falta de confiabilidad. El presente trabajo tiene como objetivo revisar y comparar dichas pruebas clásicas con la evidencia contemporánea, analizando su utilidad, limitaciones y vigencia.</w:t>
      </w:r>
    </w:p>
    <w:p>
      <w:pPr>
        <w:pStyle w:val="2"/>
      </w:pPr>
      <w:r>
        <w:t>Pruebas de comprobación de la muerte</w:t>
      </w:r>
    </w:p>
    <w:p>
      <w:pPr>
        <w:spacing w:line="360" w:lineRule="auto"/>
        <w:jc w:val="both"/>
      </w:pPr>
      <w:r>
        <w:t>Cardiocirculatorias: Incluyen la prueba de Bouchut (auscultación prolongada), cardiopunctura y la prueba de Icard con fluoresceína. Actualmente se consideran poco confiables y han sido reemplazadas por criterios neurológicos y monitorización avanzada (DiMaio &amp; DiMaio, 2020).• Químico-respiratorias: Métodos como el espejo empañado o el papel de plomo detectando gases respiratorios. Hoy se consideran métodos históricos, sin valor en protocolos modernos (Knight, 2016).</w:t>
      </w:r>
      <w:r>
        <w:rPr>
          <w:rFonts w:hint="default"/>
        </w:rPr>
        <w:t xml:space="preserve"> </w:t>
      </w:r>
      <w:r>
        <w:t xml:space="preserve">• Oftalmológicas: Cambios pupilares, pérdida de presión intraocular y manchas corneales. Algunos, como la opacidad corneal, siguen teniendo valor orientativo (Saukko &amp; Knight, 2016).• Epidérmicas: Incluyen fenómenos como la quemadura con líquidos irritantes en piel cadavérica. Actualmente no se utilizan, aunque ilustran las primeras aproximaciones al diagnóstico de muerte.Reacciones neuromusculares: Contracciones musculares postmortales inducidas </w:t>
      </w:r>
      <w:r>
        <w:rPr>
          <w:rFonts w:hint="default"/>
        </w:rPr>
        <w:t xml:space="preserve"> </w:t>
      </w:r>
      <w:r>
        <w:t>eléctricamente. Aunque descritas clásicamente, hoy se consideran de valor limitado por su variabilidad (DiMaio &amp; DiMaio, 2020).• Reacciones pupilares: Respuesta a fármacos locales como pilocarpina o atropina tras la muerte. Actualmente su uso es marginal, aunque siguen descritas en manuales clásicos.• Cambios oculares: Signo de Stenon-Louis, manchas de Sommer-Larcher y opacificación corneal. Siguen siendo hallazgos útiles, especialmente en ambientes secos.• Enfriamiento cadavérico: El método clásico utilizaba fórmulas de Bouchut o Gläister. Hoy se reconoce que el enfriamiento depende de múltiples factores ambientales y corporales, por lo que solo aporta una orientación aproximada. Livideces cadavéricas: Aparición a los 20-30 minutos, fijación en 8-12 horas. Siguen siendo un pilar en la estimación del intervalo postmortem temprano (Knight, 2016). Rigidez cadavérica: Inicia entre 2-4 horas, se completa en 12 horas y desaparece hacia las 36-48 horas. Continúa siendo un indicador confiable con variabilidad reconocida.</w:t>
      </w:r>
    </w:p>
    <w:p>
      <w:pPr>
        <w:spacing w:line="360" w:lineRule="auto"/>
        <w:jc w:val="both"/>
      </w:pPr>
      <w:r>
        <w:t>Fenómenos cadavéricos</w:t>
      </w:r>
      <w:r>
        <w:rPr>
          <w:rFonts w:hint="default"/>
        </w:rPr>
        <w:t>; e</w:t>
      </w:r>
      <w:r>
        <w:t>nfriamiento: Disminución gradual de la temperatura corporal. Su interpretación requiere conocer la temperatura ambiental y las condiciones del cadáver.</w:t>
      </w:r>
    </w:p>
    <w:p>
      <w:pPr>
        <w:spacing w:line="360" w:lineRule="auto"/>
        <w:jc w:val="both"/>
      </w:pPr>
      <w:r>
        <w:t>Livideces: Aún se utilizan para estimar la posición postmortem y movimientos del cadáver.</w:t>
      </w:r>
      <w:r>
        <w:rPr>
          <w:rFonts w:hint="default"/>
        </w:rPr>
        <w:t xml:space="preserve"> </w:t>
      </w:r>
      <w:r>
        <w:t>Deshidratación ocular: Útil para estimar intervalos tempranos, especialmente en lactantes y en condiciones de exposición ambiental.</w:t>
      </w:r>
      <w:r>
        <w:rPr>
          <w:rFonts w:hint="default"/>
        </w:rPr>
        <w:t xml:space="preserve"> </w:t>
      </w:r>
      <w:r>
        <w:t>Coagulación postmortem: Método clásico basado en la observación de coagulación sanguínea. Hoy prácticamente en desuso.</w:t>
      </w:r>
    </w:p>
    <w:p>
      <w:pPr>
        <w:pStyle w:val="2"/>
      </w:pPr>
      <w:r>
        <w:t>Fenómenos fisiológicos postmortales</w:t>
      </w:r>
    </w:p>
    <w:p>
      <w:pPr>
        <w:spacing w:line="360" w:lineRule="auto"/>
        <w:jc w:val="both"/>
      </w:pPr>
      <w:r>
        <w:t>Contenido gástrico: Ofrece una estimación aproximada del tiempo desde la última ingesta. Sin embargo, presenta gran variabilidad individual y ambiental.</w:t>
      </w:r>
      <w:r>
        <w:rPr>
          <w:rFonts w:hint="default"/>
        </w:rPr>
        <w:t xml:space="preserve"> </w:t>
      </w:r>
      <w:r>
        <w:t>Contenido vesical: Considerado en textos clásicos, pero de escaso valor actual.</w:t>
      </w:r>
      <w:r>
        <w:rPr>
          <w:rFonts w:hint="default"/>
        </w:rPr>
        <w:t xml:space="preserve"> </w:t>
      </w:r>
      <w:r>
        <w:t>Crecimiento de barba y uñas: Se reconoce actualmente que no existe crecimiento real, sino retracción de la piel por deshidratación.</w:t>
      </w:r>
      <w:r>
        <w:rPr>
          <w:rFonts w:hint="default"/>
        </w:rPr>
        <w:t xml:space="preserve"> </w:t>
      </w:r>
      <w:r>
        <w:t>El contraste entre los métodos clásicos y los protocolos modernos revela un cambio significativo en la práctica forense. Mientras que las pruebas tradicionales se centraban en observaciones clínicas y experimentales inmediatas, la medicina contemporánea ha adoptado un enfoque multidimensional. Hoy, el diagnóstico de la muerte se establece principalmente mediante criterios neurológicos (muerte encefálica) o paro cardiorrespiratorio irreversible, apoyado en estudios instrumentales como el electroencefalograma y la angiografía cerebral (World Health Organization, 2014). El cronotanatodiagnóstico, aunque aún depende de signos clásicos como livideces y rigidez, se interpreta de manera integrada, considerando condiciones ambientales, fisiológicas y contextuales. De esta manera, los métodos descritos en el tratado de Alvarado Martínez conservan valor histórico y didáctico, pero solo algunos mantienen aplicabilidad práctica.</w:t>
      </w:r>
    </w:p>
    <w:p>
      <w:pPr>
        <w:pStyle w:val="2"/>
      </w:pPr>
      <w:r>
        <w:t>Conclusiones</w:t>
      </w:r>
    </w:p>
    <w:p>
      <w:pPr>
        <w:spacing w:line="360" w:lineRule="auto"/>
        <w:jc w:val="both"/>
      </w:pPr>
      <w:r>
        <w:t>El estudio comparativo entre la obra clásica de Ismael Alvarado Martínez y la literatura moderna en medicina forense evidencia la evolución del conocimiento en torno al diagnóstico de la muerte. Aunque múltiples pruebas tradicionales han quedado obsoletas, persisten ciertos fenómenos cadavéricos como herramientas útiles en la práctica pericial. La integración de criterios clínicos, neurológicos y contextuales constituye la base actual para una certificación de muerte confiable y una estimación más precisa del intervalo postmortem. Este análisis subraya la importancia de reconocer el valor histórico de los métodos clásicos, al tiempo que se promueve la adopción de protocolos actualizados y basados en evidencia.</w:t>
      </w:r>
    </w:p>
    <w:p>
      <w:pPr>
        <w:pStyle w:val="2"/>
      </w:pPr>
    </w:p>
    <w:p>
      <w:pPr>
        <w:pStyle w:val="2"/>
      </w:pPr>
    </w:p>
    <w:p>
      <w:pPr>
        <w:pStyle w:val="2"/>
        <w:rPr>
          <w:rFonts w:hint="default"/>
        </w:rPr>
      </w:pPr>
      <w:r>
        <w:rPr>
          <w:rFonts w:hint="default"/>
        </w:rPr>
        <w:t>BIBLIOGRAFIA</w:t>
      </w:r>
      <w:bookmarkStart w:id="0" w:name="_GoBack"/>
      <w:bookmarkEnd w:id="0"/>
    </w:p>
    <w:p>
      <w:r>
        <w:t>DiMaio, V. J., &amp; DiMaio, D. (2020). Forensic Pathology (3rd ed.). CRC Press.</w:t>
      </w:r>
    </w:p>
    <w:p>
      <w:r>
        <w:t>Knight, B., &amp; Saukko, P. (2016). Knight’s Forensic Pathology (4th ed.). CRC Press.</w:t>
      </w:r>
    </w:p>
    <w:p>
      <w:r>
        <w:t>World Health Organization. (2014). WHO definition of death. WHO Technical Report Series.</w:t>
      </w:r>
    </w:p>
    <w:p>
      <w:r>
        <w:t>Alvarado Martínez, I. (s.f.). Tratado sobre el cadáver. Editorial desconocida.</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文泉驿微米黑"/>
    <w:panose1 w:val="00000000000000000000"/>
    <w:charset w:val="86"/>
    <w:family w:val="auto"/>
    <w:pitch w:val="default"/>
    <w:sig w:usb0="00000000" w:usb1="00000000" w:usb2="00000000" w:usb3="00000000" w:csb0="00000000" w:csb1="00000000"/>
  </w:font>
  <w:font w:name="HarmonyOS Sans SC Light">
    <w:panose1 w:val="00000400000000000000"/>
    <w:charset w:val="86"/>
    <w:family w:val="auto"/>
    <w:pitch w:val="default"/>
    <w:sig w:usb0="00000001" w:usb1="08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Arial">
    <w:altName w:val="Source Sans Pro SemiBold"/>
    <w:panose1 w:val="020B0604020202020204"/>
    <w:charset w:val="00"/>
    <w:family w:val="swiss"/>
    <w:pitch w:val="default"/>
    <w:sig w:usb0="20007A87" w:usb1="80000000" w:usb2="00000008" w:usb3="00000000" w:csb0="000001FF" w:csb1="00000000"/>
  </w:font>
  <w:font w:name="Source Sans Pro SemiBold">
    <w:panose1 w:val="020B0603030403020204"/>
    <w:charset w:val="00"/>
    <w:family w:val="auto"/>
    <w:pitch w:val="default"/>
    <w:sig w:usb0="600002F7" w:usb1="02000001" w:usb2="00000000" w:usb3="00000000" w:csb0="2000019F" w:csb1="00000000"/>
  </w:font>
  <w:font w:name="黑体">
    <w:altName w:val="文泉驿微米黑"/>
    <w:panose1 w:val="02010600030101010101"/>
    <w:charset w:val="00"/>
    <w:family w:val="auto"/>
    <w:pitch w:val="default"/>
    <w:sig w:usb0="00000001" w:usb1="080E0000" w:usb2="00000010" w:usb3="00000000" w:csb0="00040000" w:csb1="00000000"/>
  </w:font>
  <w:font w:name="Courier New">
    <w:altName w:val="Droid Sans Mono"/>
    <w:panose1 w:val="02070309020205020404"/>
    <w:charset w:val="00"/>
    <w:family w:val="modern"/>
    <w:pitch w:val="default"/>
    <w:sig w:usb0="20007A87" w:usb1="80000000" w:usb2="00000008" w:usb3="00000000" w:csb0="000001FF" w:csb1="00000000"/>
  </w:font>
  <w:font w:name="Droid Sans Mono">
    <w:panose1 w:val="020B0609030804020204"/>
    <w:charset w:val="00"/>
    <w:family w:val="auto"/>
    <w:pitch w:val="default"/>
    <w:sig w:usb0="E00002EF" w:usb1="4000205B" w:usb2="00000028" w:usb3="00000000" w:csb0="2000019F" w:csb1="00000000"/>
  </w:font>
  <w:font w:name="Wingdings">
    <w:altName w:val="Carrois Gothic SC"/>
    <w:panose1 w:val="05000000000000000000"/>
    <w:charset w:val="00"/>
    <w:family w:val="auto"/>
    <w:pitch w:val="default"/>
    <w:sig w:usb0="00000000" w:usb1="10000000" w:usb2="00000000" w:usb3="00000000" w:csb0="80000000" w:csb1="00000000"/>
  </w:font>
  <w:font w:name="Carrois Gothic SC">
    <w:panose1 w:val="020B0506040000020004"/>
    <w:charset w:val="00"/>
    <w:family w:val="auto"/>
    <w:pitch w:val="default"/>
    <w:sig w:usb0="8000006F" w:usb1="10000002" w:usb2="00000000" w:usb3="00000000" w:csb0="00000001" w:csb1="00000000"/>
  </w:font>
  <w:font w:name="Calibri">
    <w:altName w:val="Noto Naskh Arabic"/>
    <w:panose1 w:val="020F0502020204030204"/>
    <w:charset w:val="00"/>
    <w:family w:val="swiss"/>
    <w:pitch w:val="default"/>
    <w:sig w:usb0="00000000" w:usb1="00000000" w:usb2="00000001" w:usb3="00000000" w:csb0="0000019F" w:csb1="00000000"/>
  </w:font>
  <w:font w:name="Noto Naskh Arabic">
    <w:panose1 w:val="020B0502040504020204"/>
    <w:charset w:val="00"/>
    <w:family w:val="auto"/>
    <w:pitch w:val="default"/>
    <w:sig w:usb0="80002003" w:usb1="80002000" w:usb2="00000008" w:usb3="00000000" w:csb0="00000041" w:csb1="00080000"/>
  </w:font>
  <w:font w:name="SimSun">
    <w:altName w:val="文泉驿微米黑"/>
    <w:panose1 w:val="02010600030101010101"/>
    <w:charset w:val="86"/>
    <w:family w:val="auto"/>
    <w:pitch w:val="default"/>
    <w:sig w:usb0="00000000" w:usb1="00000000" w:usb2="00000016" w:usb3="00000000" w:csb0="00040001" w:csb1="00000000"/>
  </w:font>
  <w:font w:name="Cambria">
    <w:altName w:val="Noto Sans Syriac Eastern"/>
    <w:panose1 w:val="02040503050406030204"/>
    <w:charset w:val="00"/>
    <w:family w:val="auto"/>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ＭＳ 明朝">
    <w:altName w:val="HarmonyOS Sans SC Light"/>
    <w:panose1 w:val="00000000000000000000"/>
    <w:charset w:val="80"/>
    <w:family w:val="roman"/>
    <w:pitch w:val="default"/>
    <w:sig w:usb0="00000000" w:usb1="00000000" w:usb2="00000010" w:usb3="00000000" w:csb0="00020000" w:csb1="00000000"/>
  </w:font>
  <w:font w:name="ＭＳ 明朝">
    <w:altName w:val="HarmonyOS Sans SC Light"/>
    <w:panose1 w:val="00000000000000000000"/>
    <w:charset w:val="86"/>
    <w:family w:val="auto"/>
    <w:pitch w:val="default"/>
    <w:sig w:usb0="00000000" w:usb1="00000000" w:usb2="00000000" w:usb3="00000000" w:csb0="00000000" w:csb1="00000000"/>
  </w:font>
  <w:font w:name="ＭＳ ゴシック">
    <w:altName w:val="HarmonyOS Sans SC Light"/>
    <w:panose1 w:val="00000000000000000000"/>
    <w:charset w:val="80"/>
    <w:family w:val="modern"/>
    <w:pitch w:val="default"/>
    <w:sig w:usb0="00000000" w:usb1="00000000" w:usb2="00000010" w:usb3="00000000" w:csb0="00020000" w:csb1="00000000"/>
  </w:font>
  <w:font w:name="ＭＳ 明朝">
    <w:altName w:val="HarmonyOS Sans SC Light"/>
    <w:panose1 w:val="00000000000000000000"/>
    <w:charset w:val="00"/>
    <w:family w:val="auto"/>
    <w:pitch w:val="default"/>
    <w:sig w:usb0="00000000" w:usb1="00000000" w:usb2="00000000" w:usb3="00000000" w:csb0="00000000" w:csb1="00000000"/>
  </w:font>
  <w:font w:name="Symbol">
    <w:altName w:val="Emoji icon"/>
    <w:panose1 w:val="00000000000000000000"/>
    <w:charset w:val="02"/>
    <w:family w:val="auto"/>
    <w:pitch w:val="default"/>
    <w:sig w:usb0="00000000" w:usb1="00000000" w:usb2="00000000" w:usb3="00000000" w:csb0="80000000" w:csb1="00000000"/>
  </w:font>
  <w:font w:name="Emoji icon">
    <w:panose1 w:val="00000500000000000000"/>
    <w:charset w:val="00"/>
    <w:family w:val="auto"/>
    <w:pitch w:val="default"/>
    <w:sig w:usb0="00000001" w:usb1="00000000" w:usb2="00000000" w:usb3="00000000" w:csb0="00000001" w:csb1="00000000"/>
  </w:font>
  <w:font w:name="Courier">
    <w:altName w:val="Noto Sans Lao"/>
    <w:panose1 w:val="02000500000000000000"/>
    <w:charset w:val="00"/>
    <w:family w:val="auto"/>
    <w:pitch w:val="default"/>
    <w:sig w:usb0="00000000" w:usb1="00000000" w:usb2="00000000" w:usb3="00000000" w:csb0="00000001" w:csb1="00000000"/>
  </w:font>
  <w:font w:name="Noto Sans Lao">
    <w:panose1 w:val="02000500000000000000"/>
    <w:charset w:val="00"/>
    <w:family w:val="auto"/>
    <w:pitch w:val="default"/>
    <w:sig w:usb0="02000000" w:usb1="00000000" w:usb2="00000000" w:usb3="00000000" w:csb0="20000111" w:csb1="41000000"/>
  </w:font>
  <w:font w:name="文泉驿正黑">
    <w:panose1 w:val="02000603000000000000"/>
    <w:charset w:val="86"/>
    <w:family w:val="auto"/>
    <w:pitch w:val="default"/>
    <w:sig w:usb0="900002BF" w:usb1="2BDF7DFB" w:usb2="00000036" w:usb3="00000000" w:csb0="603E000D" w:csb1="D2D70000"/>
  </w:font>
  <w:font w:name="Dancing Script">
    <w:panose1 w:val="03080600040507000D00"/>
    <w:charset w:val="00"/>
    <w:family w:val="auto"/>
    <w:pitch w:val="default"/>
    <w:sig w:usb0="8000002F" w:usb1="4000000B" w:usb2="00000000" w:usb3="00000000" w:csb0="00000001" w:csb1="00000000"/>
  </w:font>
  <w:font w:name="FZHeiT-SC Bold">
    <w:panose1 w:val="02000500000000000000"/>
    <w:charset w:val="86"/>
    <w:family w:val="auto"/>
    <w:pitch w:val="default"/>
    <w:sig w:usb0="A00002BF" w:usb1="38CF7CFA" w:usb2="00000016" w:usb3="00000000" w:csb0="00040001" w:csb1="00000000"/>
  </w:font>
  <w:font w:name="Noto Color Emoji Flags">
    <w:panose1 w:val="02000609000000000000"/>
    <w:charset w:val="00"/>
    <w:family w:val="auto"/>
    <w:pitch w:val="default"/>
    <w:sig w:usb0="00000000" w:usb1="00000000" w:usb2="00000000" w:usb3="00000000" w:csb0="00000001" w:csb1="00000000"/>
  </w:font>
  <w:font w:name="ＭＳ ゴシック">
    <w:altName w:val="HarmonyOS Sans SC Light"/>
    <w:panose1 w:val="00000000000000000000"/>
    <w:charset w:val="00"/>
    <w:family w:val="auto"/>
    <w:pitch w:val="default"/>
    <w:sig w:usb0="00000000" w:usb1="00000000" w:usb2="00000000" w:usb3="00000000" w:csb0="00000000" w:csb1="00000000"/>
  </w:font>
  <w:font w:name="AndroidClock">
    <w:panose1 w:val="00000000000000000000"/>
    <w:charset w:val="00"/>
    <w:family w:val="auto"/>
    <w:pitch w:val="default"/>
    <w:sig w:usb0="00000001" w:usb1="00000000" w:usb2="00000000" w:usb3="00000000" w:csb0="00000001" w:csb1="00000000"/>
  </w:font>
  <w:font w:name="Noto Sans Ugaritic">
    <w:panose1 w:val="020B0502040504020204"/>
    <w:charset w:val="00"/>
    <w:family w:val="auto"/>
    <w:pitch w:val="default"/>
    <w:sig w:usb0="00000000" w:usb1="02000000" w:usb2="00000000" w:usb3="00000080" w:csb0="00000001" w:csb1="00000000"/>
  </w:font>
  <w:font w:name="Noto Serif">
    <w:panose1 w:val="020B0502040504020204"/>
    <w:charset w:val="00"/>
    <w:family w:val="auto"/>
    <w:pitch w:val="default"/>
    <w:sig w:usb0="E00002FF" w:usb1="00000000" w:usb2="00000000" w:usb3="00000000" w:csb0="2000019F" w:csb1="DFD70000"/>
  </w:font>
  <w:font w:name="Noto Sans Yi">
    <w:panose1 w:val="020B0502040504020204"/>
    <w:charset w:val="00"/>
    <w:family w:val="auto"/>
    <w:pitch w:val="default"/>
    <w:sig w:usb0="00000000" w:usb1="00000000" w:usb2="00080000" w:usb3="00000000" w:csb0="00000001" w:csb1="00000000"/>
  </w:font>
  <w:font w:name="Noto Sans Warang Citi">
    <w:panose1 w:val="020B0502040504020204"/>
    <w:charset w:val="00"/>
    <w:family w:val="auto"/>
    <w:pitch w:val="default"/>
    <w:sig w:usb0="8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97FEAA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4"/>
    <w:unhideWhenUsed/>
    <w:uiPriority w:val="99"/>
    <w:pPr>
      <w:spacing w:after="120"/>
    </w:pPr>
  </w:style>
  <w:style w:type="paragraph" w:styleId="14">
    <w:name w:val="Body Text 2"/>
    <w:basedOn w:val="1"/>
    <w:link w:val="145"/>
    <w:unhideWhenUsed/>
    <w:uiPriority w:val="99"/>
    <w:pPr>
      <w:spacing w:after="120" w:line="480" w:lineRule="auto"/>
    </w:pPr>
  </w:style>
  <w:style w:type="paragraph" w:styleId="15">
    <w:name w:val="Body Text 3"/>
    <w:basedOn w:val="1"/>
    <w:link w:val="146"/>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uiPriority w:val="99"/>
    <w:pPr>
      <w:tabs>
        <w:tab w:val="center" w:pos="4680"/>
        <w:tab w:val="right" w:pos="9360"/>
      </w:tabs>
      <w:spacing w:after="0" w:line="240" w:lineRule="auto"/>
    </w:pPr>
  </w:style>
  <w:style w:type="paragraph" w:styleId="19">
    <w:name w:val="header"/>
    <w:basedOn w:val="1"/>
    <w:link w:val="135"/>
    <w:unhideWhenUsed/>
    <w:uiPriority w:val="99"/>
    <w:pPr>
      <w:tabs>
        <w:tab w:val="center" w:pos="4680"/>
        <w:tab w:val="right" w:pos="9360"/>
      </w:tabs>
      <w:spacing w:after="0" w:line="240" w:lineRule="auto"/>
    </w:pPr>
  </w:style>
  <w:style w:type="paragraph" w:styleId="20">
    <w:name w:val="List"/>
    <w:basedOn w:val="1"/>
    <w:unhideWhenUsed/>
    <w:uiPriority w:val="99"/>
    <w:pPr>
      <w:ind w:left="360" w:hanging="360"/>
      <w:contextualSpacing/>
    </w:pPr>
  </w:style>
  <w:style w:type="paragraph" w:styleId="21">
    <w:name w:val="List 2"/>
    <w:basedOn w:val="1"/>
    <w:unhideWhenUsed/>
    <w:uiPriority w:val="99"/>
    <w:pPr>
      <w:ind w:left="720" w:hanging="360"/>
      <w:contextualSpacing/>
    </w:pPr>
  </w:style>
  <w:style w:type="paragraph" w:styleId="22">
    <w:name w:val="List 3"/>
    <w:basedOn w:val="1"/>
    <w:unhideWhenUsed/>
    <w:uiPriority w:val="99"/>
    <w:pPr>
      <w:ind w:left="1080" w:hanging="360"/>
      <w:contextualSpacing/>
    </w:pPr>
  </w:style>
  <w:style w:type="paragraph" w:styleId="23">
    <w:name w:val="List Bullet"/>
    <w:basedOn w:val="1"/>
    <w:unhideWhenUsed/>
    <w:uiPriority w:val="99"/>
    <w:pPr>
      <w:numPr>
        <w:ilvl w:val="0"/>
        <w:numId w:val="1"/>
      </w:numPr>
      <w:contextualSpacing/>
    </w:pPr>
  </w:style>
  <w:style w:type="paragraph" w:styleId="24">
    <w:name w:val="List Bullet 2"/>
    <w:basedOn w:val="1"/>
    <w:unhideWhenUsed/>
    <w:uiPriority w:val="99"/>
    <w:pPr>
      <w:numPr>
        <w:ilvl w:val="0"/>
        <w:numId w:val="2"/>
      </w:numPr>
      <w:contextualSpacing/>
    </w:pPr>
  </w:style>
  <w:style w:type="paragraph" w:styleId="25">
    <w:name w:val="List Bullet 3"/>
    <w:basedOn w:val="1"/>
    <w:unhideWhenUsed/>
    <w:uiPriority w:val="99"/>
    <w:pPr>
      <w:numPr>
        <w:ilvl w:val="0"/>
        <w:numId w:val="3"/>
      </w:numPr>
      <w:contextualSpacing/>
    </w:pPr>
  </w:style>
  <w:style w:type="paragraph" w:styleId="26">
    <w:name w:val="List Continue"/>
    <w:basedOn w:val="1"/>
    <w:unhideWhenUsed/>
    <w:uiPriority w:val="99"/>
    <w:pPr>
      <w:spacing w:after="120"/>
      <w:ind w:left="360"/>
      <w:contextualSpacing/>
    </w:pPr>
  </w:style>
  <w:style w:type="paragraph" w:styleId="27">
    <w:name w:val="List Continue 2"/>
    <w:basedOn w:val="1"/>
    <w:unhideWhenUsed/>
    <w:uiPriority w:val="99"/>
    <w:pPr>
      <w:spacing w:after="120"/>
      <w:ind w:left="720"/>
      <w:contextualSpacing/>
    </w:pPr>
  </w:style>
  <w:style w:type="paragraph" w:styleId="28">
    <w:name w:val="List Continue 3"/>
    <w:basedOn w:val="1"/>
    <w:unhideWhenUsed/>
    <w:uiPriority w:val="99"/>
    <w:pPr>
      <w:spacing w:after="120"/>
      <w:ind w:left="1080"/>
      <w:contextualSpacing/>
    </w:pPr>
  </w:style>
  <w:style w:type="paragraph" w:styleId="29">
    <w:name w:val="List Number"/>
    <w:basedOn w:val="1"/>
    <w:unhideWhenUsed/>
    <w:uiPriority w:val="99"/>
    <w:pPr>
      <w:numPr>
        <w:ilvl w:val="0"/>
        <w:numId w:val="4"/>
      </w:numPr>
      <w:contextualSpacing/>
    </w:pPr>
  </w:style>
  <w:style w:type="paragraph" w:styleId="30">
    <w:name w:val="List Number 2"/>
    <w:basedOn w:val="1"/>
    <w:unhideWhenUsed/>
    <w:uiPriority w:val="99"/>
    <w:pPr>
      <w:numPr>
        <w:ilvl w:val="0"/>
        <w:numId w:val="5"/>
      </w:numPr>
      <w:contextualSpacing/>
    </w:pPr>
  </w:style>
  <w:style w:type="paragraph" w:styleId="31">
    <w:name w:val="List Number 3"/>
    <w:basedOn w:val="1"/>
    <w:unhideWhenUsed/>
    <w:uiPriority w:val="99"/>
    <w:pPr>
      <w:numPr>
        <w:ilvl w:val="0"/>
        <w:numId w:val="6"/>
      </w:numPr>
      <w:contextualSpacing/>
    </w:pPr>
  </w:style>
  <w:style w:type="paragraph" w:styleId="3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uiPriority w:val="99"/>
  </w:style>
  <w:style w:type="character" w:customStyle="1" w:styleId="136">
    <w:name w:val="Footer Char"/>
    <w:basedOn w:val="11"/>
    <w:link w:val="18"/>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uiPriority w:val="99"/>
  </w:style>
  <w:style w:type="character" w:customStyle="1" w:styleId="145">
    <w:name w:val="Body Text 2 Char"/>
    <w:basedOn w:val="11"/>
    <w:link w:val="14"/>
    <w:uiPriority w:val="99"/>
  </w:style>
  <w:style w:type="character" w:customStyle="1" w:styleId="146">
    <w:name w:val="Body Text 3 Char"/>
    <w:basedOn w:val="11"/>
    <w:link w:val="15"/>
    <w:uiPriority w:val="99"/>
    <w:rPr>
      <w:sz w:val="16"/>
      <w:szCs w:val="16"/>
    </w:rPr>
  </w:style>
  <w:style w:type="character" w:customStyle="1" w:styleId="147">
    <w:name w:val="Macro Text Char"/>
    <w:basedOn w:val="11"/>
    <w:link w:val="3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uiPriority w:val="29"/>
    <w:rPr>
      <w:i/>
      <w:iCs/>
      <w:color w:val="000000" w:themeColor="text1"/>
      <w14:textFill>
        <w14:solidFill>
          <w14:schemeClr w14:val="tx1"/>
        </w14:solidFill>
      </w14:textFill>
    </w:rPr>
  </w:style>
  <w:style w:type="character" w:customStyle="1" w:styleId="150">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Office_12.8.2.14803_F1E327BC-269C-435d-A152-05C5408002CA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python-docx</dc:creator>
  <dc:description>generated by python-docx</dc:description>
  <cp:lastModifiedBy>hsl</cp:lastModifiedBy>
  <dcterms:modified xsi:type="dcterms:W3CDTF">2025-09-14T09:29:28Z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1033-12.8.2.14803</vt:lpwstr>
  </property>
  <property fmtid="{D5CDD505-2E9C-101B-9397-08002B2CF9AE}" pid="3" name="ICV">
    <vt:lpwstr>471C346B8EB74868781AC6683F59F2F6_42</vt:lpwstr>
  </property>
</Properties>
</file>