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72485" cy="136207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72485" cy="13620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b w:val="1"/>
          <w:sz w:val="48"/>
          <w:szCs w:val="48"/>
        </w:rPr>
      </w:pPr>
      <w:r w:rsidDel="00000000" w:rsidR="00000000" w:rsidRPr="00000000">
        <w:rPr>
          <w:b w:val="1"/>
          <w:color w:val="0b5394"/>
          <w:sz w:val="48"/>
          <w:szCs w:val="48"/>
          <w:rtl w:val="0"/>
        </w:rPr>
        <w:t xml:space="preserve">Nombre del alumno:</w:t>
      </w:r>
      <w:r w:rsidDel="00000000" w:rsidR="00000000" w:rsidRPr="00000000">
        <w:rPr>
          <w:sz w:val="48"/>
          <w:szCs w:val="48"/>
          <w:rtl w:val="0"/>
        </w:rPr>
        <w:t xml:space="preserve"> </w:t>
      </w:r>
      <w:r w:rsidDel="00000000" w:rsidR="00000000" w:rsidRPr="00000000">
        <w:rPr>
          <w:b w:val="1"/>
          <w:sz w:val="48"/>
          <w:szCs w:val="48"/>
          <w:rtl w:val="0"/>
        </w:rPr>
        <w:t xml:space="preserve">Leyvi Jacqueline Hernández Aguilar.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b w:val="1"/>
          <w:sz w:val="48"/>
          <w:szCs w:val="48"/>
        </w:rPr>
      </w:pPr>
      <w:r w:rsidDel="00000000" w:rsidR="00000000" w:rsidRPr="00000000">
        <w:rPr>
          <w:b w:val="1"/>
          <w:color w:val="0b5394"/>
          <w:sz w:val="48"/>
          <w:szCs w:val="48"/>
          <w:rtl w:val="0"/>
        </w:rPr>
        <w:t xml:space="preserve">Nombre del profesor:</w:t>
      </w:r>
      <w:r w:rsidDel="00000000" w:rsidR="00000000" w:rsidRPr="00000000">
        <w:rPr>
          <w:sz w:val="48"/>
          <w:szCs w:val="48"/>
          <w:rtl w:val="0"/>
        </w:rPr>
        <w:t xml:space="preserve"> </w:t>
      </w:r>
      <w:r w:rsidDel="00000000" w:rsidR="00000000" w:rsidRPr="00000000">
        <w:rPr>
          <w:b w:val="1"/>
          <w:sz w:val="48"/>
          <w:szCs w:val="48"/>
          <w:rtl w:val="0"/>
        </w:rPr>
        <w:t xml:space="preserve">José María Escobar Coello.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b w:val="1"/>
          <w:sz w:val="48"/>
          <w:szCs w:val="48"/>
        </w:rPr>
      </w:pPr>
      <w:r w:rsidDel="00000000" w:rsidR="00000000" w:rsidRPr="00000000">
        <w:rPr>
          <w:b w:val="1"/>
          <w:color w:val="0b5394"/>
          <w:sz w:val="48"/>
          <w:szCs w:val="48"/>
          <w:rtl w:val="0"/>
        </w:rPr>
        <w:t xml:space="preserve">Nombre del trabajo:</w:t>
      </w:r>
      <w:r w:rsidDel="00000000" w:rsidR="00000000" w:rsidRPr="00000000">
        <w:rPr>
          <w:sz w:val="48"/>
          <w:szCs w:val="48"/>
          <w:rtl w:val="0"/>
        </w:rPr>
        <w:t xml:space="preserve"> </w:t>
      </w:r>
      <w:r w:rsidDel="00000000" w:rsidR="00000000" w:rsidRPr="00000000">
        <w:rPr>
          <w:b w:val="1"/>
          <w:sz w:val="48"/>
          <w:szCs w:val="48"/>
          <w:rtl w:val="0"/>
        </w:rPr>
        <w:t xml:space="preserve">Informe Psicológico. </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400040" cy="2021840"/>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00040" cy="2021840"/>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b w:val="1"/>
          <w:sz w:val="48"/>
          <w:szCs w:val="48"/>
        </w:rPr>
      </w:pPr>
      <w:r w:rsidDel="00000000" w:rsidR="00000000" w:rsidRPr="00000000">
        <w:rPr>
          <w:b w:val="1"/>
          <w:color w:val="0b5394"/>
          <w:sz w:val="48"/>
          <w:szCs w:val="48"/>
          <w:rtl w:val="0"/>
        </w:rPr>
        <w:t xml:space="preserve">Materia: </w:t>
      </w:r>
      <w:r w:rsidDel="00000000" w:rsidR="00000000" w:rsidRPr="00000000">
        <w:rPr>
          <w:b w:val="1"/>
          <w:sz w:val="48"/>
          <w:szCs w:val="48"/>
          <w:rtl w:val="0"/>
        </w:rPr>
        <w:t xml:space="preserve">Evaluación psicológica</w:t>
      </w:r>
      <w:r w:rsidDel="00000000" w:rsidR="00000000" w:rsidRPr="00000000">
        <w:rPr>
          <w:sz w:val="48"/>
          <w:szCs w:val="48"/>
          <w:rtl w:val="0"/>
        </w:rPr>
        <w:t xml:space="preserve"> </w:t>
      </w:r>
      <w:r w:rsidDel="00000000" w:rsidR="00000000" w:rsidRPr="00000000">
        <w:rPr>
          <w:b w:val="1"/>
          <w:sz w:val="48"/>
          <w:szCs w:val="48"/>
          <w:rtl w:val="0"/>
        </w:rPr>
        <w:t xml:space="preserve">clínica.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b w:val="1"/>
          <w:sz w:val="48"/>
          <w:szCs w:val="48"/>
        </w:rPr>
      </w:pPr>
      <w:r w:rsidDel="00000000" w:rsidR="00000000" w:rsidRPr="00000000">
        <w:rPr>
          <w:b w:val="1"/>
          <w:color w:val="0b5394"/>
          <w:sz w:val="48"/>
          <w:szCs w:val="48"/>
          <w:rtl w:val="0"/>
        </w:rPr>
        <w:t xml:space="preserve">Grado:</w:t>
      </w:r>
      <w:r w:rsidDel="00000000" w:rsidR="00000000" w:rsidRPr="00000000">
        <w:rPr>
          <w:sz w:val="48"/>
          <w:szCs w:val="48"/>
          <w:rtl w:val="0"/>
        </w:rPr>
        <w:t xml:space="preserve"> </w:t>
      </w:r>
      <w:r w:rsidDel="00000000" w:rsidR="00000000" w:rsidRPr="00000000">
        <w:rPr>
          <w:b w:val="1"/>
          <w:sz w:val="48"/>
          <w:szCs w:val="48"/>
          <w:rtl w:val="0"/>
        </w:rPr>
        <w:t xml:space="preserve">6º</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b w:val="1"/>
          <w:sz w:val="48"/>
          <w:szCs w:val="48"/>
        </w:rPr>
      </w:pPr>
      <w:r w:rsidDel="00000000" w:rsidR="00000000" w:rsidRPr="00000000">
        <w:rPr>
          <w:b w:val="1"/>
          <w:color w:val="0b5394"/>
          <w:sz w:val="48"/>
          <w:szCs w:val="48"/>
          <w:rtl w:val="0"/>
        </w:rPr>
        <w:t xml:space="preserve">Grupo</w:t>
      </w:r>
      <w:r w:rsidDel="00000000" w:rsidR="00000000" w:rsidRPr="00000000">
        <w:rPr>
          <w:color w:val="0b5394"/>
          <w:sz w:val="48"/>
          <w:szCs w:val="48"/>
          <w:rtl w:val="0"/>
        </w:rPr>
        <w:t xml:space="preserve">:</w:t>
      </w:r>
      <w:r w:rsidDel="00000000" w:rsidR="00000000" w:rsidRPr="00000000">
        <w:rPr>
          <w:sz w:val="48"/>
          <w:szCs w:val="48"/>
          <w:rtl w:val="0"/>
        </w:rPr>
        <w:t xml:space="preserve"> </w:t>
      </w:r>
      <w:r w:rsidDel="00000000" w:rsidR="00000000" w:rsidRPr="00000000">
        <w:rPr>
          <w:b w:val="1"/>
          <w:sz w:val="48"/>
          <w:szCs w:val="48"/>
          <w:rtl w:val="0"/>
        </w:rPr>
        <w:t xml:space="preserve">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b w:val="1"/>
          <w:sz w:val="48"/>
          <w:szCs w:val="48"/>
        </w:rPr>
      </w:pPr>
      <w:r w:rsidDel="00000000" w:rsidR="00000000" w:rsidRPr="00000000">
        <w:rPr>
          <w:b w:val="1"/>
          <w:sz w:val="48"/>
          <w:szCs w:val="48"/>
          <w:rtl w:val="0"/>
        </w:rPr>
        <w:t xml:space="preserve">De Psicología.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right"/>
        <w:rPr>
          <w:color w:val="3d85c6"/>
          <w:sz w:val="28"/>
          <w:szCs w:val="28"/>
        </w:rPr>
      </w:pPr>
      <w:r w:rsidDel="00000000" w:rsidR="00000000" w:rsidRPr="00000000">
        <w:rPr>
          <w:color w:val="3d85c6"/>
          <w:sz w:val="28"/>
          <w:szCs w:val="28"/>
          <w:rtl w:val="0"/>
        </w:rPr>
        <w:t xml:space="preserve">Comitán de Domínguez Chiapas a 03 de agosto de 2025.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-2978115</wp:posOffset>
            </wp:positionH>
            <wp:positionV relativeFrom="paragraph">
              <wp:posOffset>0</wp:posOffset>
            </wp:positionV>
            <wp:extent cx="9633876" cy="904875"/>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633876" cy="904875"/>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left"/>
        <w:rPr/>
      </w:pPr>
      <w:r w:rsidDel="00000000" w:rsidR="00000000" w:rsidRPr="00000000">
        <w:rPr>
          <w:rtl w:val="0"/>
        </w:rPr>
      </w:r>
    </w:p>
    <w:tbl>
      <w:tblPr>
        <w:tblStyle w:val="Table1"/>
        <w:tblW w:w="90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855" w:hRule="atLeast"/>
          <w:tblHeader w:val="0"/>
        </w:trPr>
        <w:tc>
          <w:tcPr>
            <w:shd w:fill="000000" w:val="clear"/>
            <w:vAlign w:val="center"/>
          </w:tcPr>
          <w:p w:rsidR="00000000" w:rsidDel="00000000" w:rsidP="00000000" w:rsidRDefault="00000000" w:rsidRPr="00000000" w14:paraId="0000001E">
            <w:pPr>
              <w:jc w:val="center"/>
              <w:rPr>
                <w:rFonts w:ascii="Play" w:cs="Play" w:eastAsia="Play" w:hAnsi="Play"/>
                <w:b w:val="1"/>
                <w:color w:val="ffffff"/>
                <w:sz w:val="36"/>
                <w:szCs w:val="36"/>
              </w:rPr>
            </w:pPr>
            <w:r w:rsidDel="00000000" w:rsidR="00000000" w:rsidRPr="00000000">
              <w:rPr>
                <w:rFonts w:ascii="Play" w:cs="Play" w:eastAsia="Play" w:hAnsi="Play"/>
                <w:b w:val="1"/>
                <w:color w:val="ffffff"/>
                <w:sz w:val="36"/>
                <w:szCs w:val="36"/>
                <w:rtl w:val="0"/>
              </w:rPr>
              <w:t xml:space="preserve">INFORME PSICOLÓGICO</w:t>
            </w:r>
          </w:p>
        </w:tc>
      </w:tr>
    </w:tbl>
    <w:p w:rsidR="00000000" w:rsidDel="00000000" w:rsidP="00000000" w:rsidRDefault="00000000" w:rsidRPr="00000000" w14:paraId="0000001F">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508"/>
        <w:gridCol w:w="4508"/>
        <w:tblGridChange w:id="0">
          <w:tblGrid>
            <w:gridCol w:w="4508"/>
            <w:gridCol w:w="4508"/>
          </w:tblGrid>
        </w:tblGridChange>
      </w:tblGrid>
      <w:tr>
        <w:trPr>
          <w:cantSplit w:val="0"/>
          <w:trHeight w:val="300" w:hRule="atLeast"/>
          <w:tblHeader w:val="0"/>
        </w:trPr>
        <w:tc>
          <w:tcPr>
            <w:gridSpan w:val="2"/>
            <w:tcBorders>
              <w:bottom w:color="000000" w:space="0" w:sz="0" w:val="nil"/>
            </w:tcBorders>
            <w:shd w:fill="000000" w:val="clear"/>
          </w:tcPr>
          <w:p w:rsidR="00000000" w:rsidDel="00000000" w:rsidP="00000000" w:rsidRDefault="00000000" w:rsidRPr="00000000" w14:paraId="00000020">
            <w:pPr>
              <w:rPr>
                <w:rFonts w:ascii="Play" w:cs="Play" w:eastAsia="Play" w:hAnsi="Play"/>
                <w:b w:val="1"/>
                <w:color w:val="ffffff"/>
                <w:sz w:val="32"/>
                <w:szCs w:val="32"/>
              </w:rPr>
            </w:pPr>
            <w:r w:rsidDel="00000000" w:rsidR="00000000" w:rsidRPr="00000000">
              <w:rPr>
                <w:rFonts w:ascii="Play" w:cs="Play" w:eastAsia="Play" w:hAnsi="Play"/>
                <w:b w:val="1"/>
                <w:color w:val="ffffff"/>
                <w:sz w:val="28"/>
                <w:szCs w:val="28"/>
                <w:rtl w:val="0"/>
              </w:rPr>
              <w:t xml:space="preserve">DATOS DE AFILIACIÓN</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Nombre y apellidos: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rPr/>
            </w:pPr>
            <w:r w:rsidDel="00000000" w:rsidR="00000000" w:rsidRPr="00000000">
              <w:rPr>
                <w:rtl w:val="0"/>
              </w:rPr>
              <w:t xml:space="preserve">E. P. V.</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Edad: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pPr>
            <w:r w:rsidDel="00000000" w:rsidR="00000000" w:rsidRPr="00000000">
              <w:rPr>
                <w:rtl w:val="0"/>
              </w:rPr>
              <w:t xml:space="preserve">23 años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Sexo: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pPr>
            <w:r w:rsidDel="00000000" w:rsidR="00000000" w:rsidRPr="00000000">
              <w:rPr>
                <w:rtl w:val="0"/>
              </w:rPr>
              <w:t xml:space="preserve">Masculino</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Fecha de informe: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rPr/>
            </w:pPr>
            <w:r w:rsidDel="00000000" w:rsidR="00000000" w:rsidRPr="00000000">
              <w:rPr>
                <w:rtl w:val="0"/>
              </w:rPr>
              <w:t xml:space="preserve">03/08/2025</w:t>
            </w:r>
          </w:p>
        </w:tc>
      </w:tr>
    </w:tbl>
    <w:p w:rsidR="00000000" w:rsidDel="00000000" w:rsidP="00000000" w:rsidRDefault="00000000" w:rsidRPr="00000000" w14:paraId="0000002A">
      <w:pPr>
        <w:rPr/>
      </w:pPr>
      <w:r w:rsidDel="00000000" w:rsidR="00000000" w:rsidRPr="00000000">
        <w:rPr>
          <w:rtl w:val="0"/>
        </w:rPr>
      </w:r>
    </w:p>
    <w:tbl>
      <w:tblPr>
        <w:tblStyle w:val="Table3"/>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300" w:hRule="atLeast"/>
          <w:tblHeader w:val="0"/>
        </w:trPr>
        <w:tc>
          <w:tcPr>
            <w:shd w:fill="000000" w:val="clear"/>
          </w:tcPr>
          <w:p w:rsidR="00000000" w:rsidDel="00000000" w:rsidP="00000000" w:rsidRDefault="00000000" w:rsidRPr="00000000" w14:paraId="0000002B">
            <w:pPr>
              <w:rPr>
                <w:rFonts w:ascii="Play" w:cs="Play" w:eastAsia="Play" w:hAnsi="Play"/>
                <w:b w:val="1"/>
                <w:color w:val="ffffff"/>
                <w:sz w:val="28"/>
                <w:szCs w:val="28"/>
              </w:rPr>
            </w:pPr>
            <w:r w:rsidDel="00000000" w:rsidR="00000000" w:rsidRPr="00000000">
              <w:rPr>
                <w:rFonts w:ascii="Play" w:cs="Play" w:eastAsia="Play" w:hAnsi="Play"/>
                <w:b w:val="1"/>
                <w:color w:val="ffffff"/>
                <w:sz w:val="28"/>
                <w:szCs w:val="28"/>
                <w:rtl w:val="0"/>
              </w:rPr>
              <w:t xml:space="preserve">MOTIVO DE CONSULTA</w:t>
            </w:r>
          </w:p>
        </w:tc>
      </w:tr>
    </w:tbl>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Evaluación solicitada por el paciente, E.P.V., con el objetivo de obtener un diagnóstico clínico preciso que le permita esclarecer la posibilidad de presentar un trastorno del espectro autista (TEA). Esta inquietud surge a partir de experiencias significativas durante su infancia, en las cuales reporta haber experimentado sentimientos persistentes de inadaptación social, incomprensión por parte de su entorno y una marcada dificultad para integrarse o sentirse parte de un grupo. Dichas vivencias han generado cuestionamientos personales en la etapa actual de su desarrollo, motivando la necesidad de una valoración diagnóstica integral que contribuya a una mejor comprensión de su funcionamiento socioemocional y conductual.</w:t>
      </w:r>
    </w:p>
    <w:tbl>
      <w:tblPr>
        <w:tblStyle w:val="Table4"/>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300" w:hRule="atLeast"/>
          <w:tblHeader w:val="0"/>
        </w:trPr>
        <w:tc>
          <w:tcPr>
            <w:shd w:fill="000000" w:val="clear"/>
          </w:tcPr>
          <w:p w:rsidR="00000000" w:rsidDel="00000000" w:rsidP="00000000" w:rsidRDefault="00000000" w:rsidRPr="00000000" w14:paraId="0000002E">
            <w:pPr>
              <w:rPr>
                <w:rFonts w:ascii="Play" w:cs="Play" w:eastAsia="Play" w:hAnsi="Play"/>
                <w:b w:val="1"/>
                <w:color w:val="ffffff"/>
                <w:sz w:val="28"/>
                <w:szCs w:val="28"/>
              </w:rPr>
            </w:pPr>
            <w:r w:rsidDel="00000000" w:rsidR="00000000" w:rsidRPr="00000000">
              <w:rPr>
                <w:rFonts w:ascii="Play" w:cs="Play" w:eastAsia="Play" w:hAnsi="Play"/>
                <w:b w:val="1"/>
                <w:color w:val="ffffff"/>
                <w:sz w:val="28"/>
                <w:szCs w:val="28"/>
                <w:rtl w:val="0"/>
              </w:rPr>
              <w:t xml:space="preserve">ANTECEDENTES RELEVANTES</w:t>
            </w:r>
          </w:p>
        </w:tc>
      </w:tr>
    </w:tbl>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Desde una edad temprana, el paciente manifestó una profunda sensación de inadaptación, destacándose por no encajar en los entornos sociales ni comprender del todo las dinámicas relacionales. Fue diagnosticado en la infancia con Trastorno por Déficit de Atención con Hiperactividad (TDAH), lo cual marcó significativamente su desarrollo escolar y emocional. Presentaba dificultades persistentes para vincularse con sus pares, manteniendo interacciones sociales limitadas y con cierto grado de incomodidad. Además, reportaba una percepción intensa y desregulada de sus propias sensaciones físicas: mencionaba, por ejemplo, que su temperatura corporal se elevaba de manera exagerada o que los estímulos sensoriales le resultaban abrumadores. Estas experiencias sensoriales y emocionales lo llevaban a sentirse aún más diferente, alimentando una narrativa interna de extrañeza y desconexión con su entorno.</w:t>
      </w:r>
    </w:p>
    <w:tbl>
      <w:tblPr>
        <w:tblStyle w:val="Table5"/>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300" w:hRule="atLeast"/>
          <w:tblHeader w:val="0"/>
        </w:trPr>
        <w:tc>
          <w:tcPr>
            <w:shd w:fill="000000" w:val="clear"/>
          </w:tcPr>
          <w:p w:rsidR="00000000" w:rsidDel="00000000" w:rsidP="00000000" w:rsidRDefault="00000000" w:rsidRPr="00000000" w14:paraId="00000031">
            <w:pPr>
              <w:rPr>
                <w:rFonts w:ascii="Play" w:cs="Play" w:eastAsia="Play" w:hAnsi="Play"/>
                <w:b w:val="1"/>
                <w:color w:val="ffffff"/>
                <w:sz w:val="28"/>
                <w:szCs w:val="28"/>
              </w:rPr>
            </w:pPr>
            <w:r w:rsidDel="00000000" w:rsidR="00000000" w:rsidRPr="00000000">
              <w:rPr>
                <w:rFonts w:ascii="Play" w:cs="Play" w:eastAsia="Play" w:hAnsi="Play"/>
                <w:b w:val="1"/>
                <w:color w:val="ffffff"/>
                <w:sz w:val="28"/>
                <w:szCs w:val="28"/>
                <w:rtl w:val="0"/>
              </w:rPr>
              <w:t xml:space="preserve">TÉCNICAS E INSTRUMENTOS UTILIZADOS</w:t>
            </w:r>
          </w:p>
        </w:tc>
      </w:tr>
    </w:tbl>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La Figura Humana (DFH): Test Proyectivo de Karen Machover / Juan A. Portuondo.</w:t>
      </w:r>
    </w:p>
    <w:tbl>
      <w:tblPr>
        <w:tblStyle w:val="Table6"/>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300" w:hRule="atLeast"/>
          <w:tblHeader w:val="0"/>
        </w:trPr>
        <w:tc>
          <w:tcPr>
            <w:shd w:fill="000000" w:val="clear"/>
          </w:tcPr>
          <w:p w:rsidR="00000000" w:rsidDel="00000000" w:rsidP="00000000" w:rsidRDefault="00000000" w:rsidRPr="00000000" w14:paraId="00000034">
            <w:pPr>
              <w:rPr>
                <w:rFonts w:ascii="Play" w:cs="Play" w:eastAsia="Play" w:hAnsi="Play"/>
                <w:b w:val="1"/>
                <w:color w:val="ffffff"/>
                <w:sz w:val="28"/>
                <w:szCs w:val="28"/>
              </w:rPr>
            </w:pPr>
            <w:r w:rsidDel="00000000" w:rsidR="00000000" w:rsidRPr="00000000">
              <w:rPr>
                <w:rFonts w:ascii="Play" w:cs="Play" w:eastAsia="Play" w:hAnsi="Play"/>
                <w:b w:val="1"/>
                <w:color w:val="ffffff"/>
                <w:sz w:val="28"/>
                <w:szCs w:val="28"/>
                <w:rtl w:val="0"/>
              </w:rPr>
              <w:t xml:space="preserve">OBSERVACIÓN CONDUCTUAL</w:t>
            </w:r>
          </w:p>
        </w:tc>
      </w:tr>
    </w:tbl>
    <w:p w:rsidR="00000000" w:rsidDel="00000000" w:rsidP="00000000" w:rsidRDefault="00000000" w:rsidRPr="00000000" w14:paraId="00000035">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Observación general:</w:t>
      </w: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rtl w:val="0"/>
        </w:rPr>
        <w:t xml:space="preserve">El paciente se presentó a la sesión vistiendo un suéter gris, pantalón de mezclilla celeste, tenis de color azul y una gorra negra. En cuanto a su aspecto físico, se identifica con tez clara, complexión delgada y de estatura alta.</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Conducta durante la entrevista:</w:t>
      </w: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t xml:space="preserve">Durante el inicio de la primera parte de la entrevista, el paciente mostró una marcada limitación en su expresión verbal, respondiendo con pocas palabras y sin desarrollar ampliamente sus respuestas. Se observó una conducta corporal rígida y signos claros de tensión.</w:t>
      </w:r>
    </w:p>
    <w:p w:rsidR="00000000" w:rsidDel="00000000" w:rsidP="00000000" w:rsidRDefault="00000000" w:rsidRPr="00000000" w14:paraId="0000003A">
      <w:pPr>
        <w:spacing w:line="276" w:lineRule="auto"/>
        <w:jc w:val="both"/>
        <w:rPr/>
      </w:pPr>
      <w:r w:rsidDel="00000000" w:rsidR="00000000" w:rsidRPr="00000000">
        <w:rPr>
          <w:rtl w:val="0"/>
        </w:rPr>
        <w:t xml:space="preserve">En cuanto al lenguaje no verbal, se identificó un movimiento constante en la mano derecha, específicamente el acto repetitivo de cerrarla. Mantuvo la cabeza inclinada gran parte del tiempo y evitó el contacto visual de manera continua. Su actitud general fue nerviosa, con un evidente estado de incomodidad frente a la interacción.</w:t>
      </w:r>
    </w:p>
    <w:p w:rsidR="00000000" w:rsidDel="00000000" w:rsidP="00000000" w:rsidRDefault="00000000" w:rsidRPr="00000000" w14:paraId="0000003B">
      <w:pPr>
        <w:spacing w:line="276" w:lineRule="auto"/>
        <w:jc w:val="both"/>
        <w:rPr/>
      </w:pPr>
      <w:r w:rsidDel="00000000" w:rsidR="00000000" w:rsidRPr="00000000">
        <w:rPr>
          <w:rtl w:val="0"/>
        </w:rPr>
        <w:t xml:space="preserve">Al pasar en la segunda y última parte de la entrevista se notaron cambios positivos en su conducta. El paciente se mostró más relajado y receptivo, con mayor disposición a comunicarse, si bien mantuvo una actitud reservada, fue evidente el cambio en la confianza y en su nivel de comodidad durante la sesión.</w:t>
      </w:r>
    </w:p>
    <w:p w:rsidR="00000000" w:rsidDel="00000000" w:rsidP="00000000" w:rsidRDefault="00000000" w:rsidRPr="00000000" w14:paraId="0000003C">
      <w:pPr>
        <w:spacing w:line="276" w:lineRule="auto"/>
        <w:jc w:val="both"/>
        <w:rPr/>
      </w:pPr>
      <w:r w:rsidDel="00000000" w:rsidR="00000000" w:rsidRPr="00000000">
        <w:rPr>
          <w:rtl w:val="0"/>
        </w:rPr>
      </w:r>
    </w:p>
    <w:tbl>
      <w:tblPr>
        <w:tblStyle w:val="Table7"/>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300" w:hRule="atLeast"/>
          <w:tblHeader w:val="0"/>
        </w:trPr>
        <w:tc>
          <w:tcPr>
            <w:shd w:fill="000000" w:val="clear"/>
          </w:tcPr>
          <w:p w:rsidR="00000000" w:rsidDel="00000000" w:rsidP="00000000" w:rsidRDefault="00000000" w:rsidRPr="00000000" w14:paraId="0000003D">
            <w:pPr>
              <w:rPr>
                <w:rFonts w:ascii="Play" w:cs="Play" w:eastAsia="Play" w:hAnsi="Play"/>
                <w:b w:val="1"/>
                <w:color w:val="ffffff"/>
                <w:sz w:val="28"/>
                <w:szCs w:val="28"/>
              </w:rPr>
            </w:pPr>
            <w:r w:rsidDel="00000000" w:rsidR="00000000" w:rsidRPr="00000000">
              <w:rPr>
                <w:rFonts w:ascii="Play" w:cs="Play" w:eastAsia="Play" w:hAnsi="Play"/>
                <w:b w:val="1"/>
                <w:color w:val="ffffff"/>
                <w:sz w:val="28"/>
                <w:szCs w:val="28"/>
                <w:rtl w:val="0"/>
              </w:rPr>
              <w:t xml:space="preserve">RESULTADOS DE LA EVALUACIÓN</w:t>
            </w:r>
          </w:p>
        </w:tc>
      </w:tr>
    </w:tbl>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paciente E. P. V., fue evaluado y remitido para valoración diagnóstica debido a síntomas compatibles con el trastorno del espectro autista (TEA), reportando además antecedentes de diagnóstico de Trastorno por Déficit de Atención con Hiperactividad (TDAH) en la infancia y dificultades persistentes en el ámbito social.</w:t>
      </w:r>
    </w:p>
    <w:p w:rsidR="00000000" w:rsidDel="00000000" w:rsidP="00000000" w:rsidRDefault="00000000" w:rsidRPr="00000000" w14:paraId="0000004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Se aplicó el Test De la Figura Humana, obteniendo como resultado que el usuario presenta conflictos familiares, así mismo, presenta rasgos ansiosos e inseguros, se obtuvieron también indicadores positivos compatibles con un grado de autista leve a moderado. Durante la entrevista el paciente comentó sentirse frecuentemente inadaptado en diversos contextos sociales. Se identificaron patrones de pensamiento rígidos y una interpretación literal del lenguaje. </w:t>
      </w:r>
    </w:p>
    <w:p w:rsidR="00000000" w:rsidDel="00000000" w:rsidP="00000000" w:rsidRDefault="00000000" w:rsidRPr="00000000" w14:paraId="0000004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Las vivencias personales relatadas por el evaluado, tales como, la sensación constante de no encajar, malentendidos sociales y ansiedad ante situaciones sociales no estructuradas respaldan aún más el diagnóstico de un trastorno del espectro autista.</w:t>
      </w:r>
    </w:p>
    <w:p w:rsidR="00000000" w:rsidDel="00000000" w:rsidP="00000000" w:rsidRDefault="00000000" w:rsidRPr="00000000" w14:paraId="00000042">
      <w:pPr>
        <w:spacing w:line="276" w:lineRule="auto"/>
        <w:jc w:val="both"/>
        <w:rPr/>
      </w:pPr>
      <w:r w:rsidDel="00000000" w:rsidR="00000000" w:rsidRPr="00000000">
        <w:rPr>
          <w:rtl w:val="0"/>
        </w:rPr>
      </w:r>
    </w:p>
    <w:tbl>
      <w:tblPr>
        <w:tblStyle w:val="Table8"/>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300" w:hRule="atLeast"/>
          <w:tblHeader w:val="0"/>
        </w:trPr>
        <w:tc>
          <w:tcPr>
            <w:shd w:fill="000000" w:val="clear"/>
          </w:tcPr>
          <w:p w:rsidR="00000000" w:rsidDel="00000000" w:rsidP="00000000" w:rsidRDefault="00000000" w:rsidRPr="00000000" w14:paraId="00000043">
            <w:pPr>
              <w:rPr>
                <w:rFonts w:ascii="Play" w:cs="Play" w:eastAsia="Play" w:hAnsi="Play"/>
                <w:b w:val="1"/>
                <w:color w:val="ffffff"/>
                <w:sz w:val="28"/>
                <w:szCs w:val="28"/>
              </w:rPr>
            </w:pPr>
            <w:r w:rsidDel="00000000" w:rsidR="00000000" w:rsidRPr="00000000">
              <w:rPr>
                <w:rFonts w:ascii="Play" w:cs="Play" w:eastAsia="Play" w:hAnsi="Play"/>
                <w:b w:val="1"/>
                <w:color w:val="ffffff"/>
                <w:sz w:val="28"/>
                <w:szCs w:val="28"/>
                <w:rtl w:val="0"/>
              </w:rPr>
              <w:t xml:space="preserve">CONCLUSIONES</w:t>
            </w:r>
          </w:p>
        </w:tc>
      </w:tr>
    </w:tbl>
    <w:p w:rsidR="00000000" w:rsidDel="00000000" w:rsidP="00000000" w:rsidRDefault="00000000" w:rsidRPr="00000000" w14:paraId="00000044">
      <w:pPr>
        <w:spacing w:line="276" w:lineRule="auto"/>
        <w:jc w:val="both"/>
        <w:rPr/>
      </w:pPr>
      <w:r w:rsidDel="00000000" w:rsidR="00000000" w:rsidRPr="00000000">
        <w:rPr>
          <w:rtl w:val="0"/>
        </w:rPr>
      </w:r>
    </w:p>
    <w:p w:rsidR="00000000" w:rsidDel="00000000" w:rsidP="00000000" w:rsidRDefault="00000000" w:rsidRPr="00000000" w14:paraId="00000045">
      <w:pPr>
        <w:spacing w:line="276" w:lineRule="auto"/>
        <w:jc w:val="both"/>
        <w:rPr/>
      </w:pPr>
      <w:r w:rsidDel="00000000" w:rsidR="00000000" w:rsidRPr="00000000">
        <w:rPr>
          <w:rtl w:val="0"/>
        </w:rPr>
        <w:t xml:space="preserve">En base a los resultados de la evaluación psicológica del paciente, se elaboran las siguientes conclusiones, haciendo énfasis en el TDAH, pero sin dejar de resaltar las características del TEA:</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Impresión diagnóstica principal (TDAH):</w:t>
      </w:r>
      <w:r w:rsidDel="00000000" w:rsidR="00000000" w:rsidRPr="00000000">
        <w:rPr>
          <w:rtl w:val="0"/>
        </w:rPr>
      </w:r>
    </w:p>
    <w:p w:rsidR="00000000" w:rsidDel="00000000" w:rsidP="00000000" w:rsidRDefault="00000000" w:rsidRPr="00000000" w14:paraId="00000047">
      <w:pPr>
        <w:spacing w:line="276" w:lineRule="auto"/>
        <w:jc w:val="both"/>
        <w:rPr>
          <w:rFonts w:ascii="Aptos" w:cs="Aptos" w:eastAsia="Aptos" w:hAnsi="Aptos"/>
        </w:rPr>
      </w:pPr>
      <w:r w:rsidDel="00000000" w:rsidR="00000000" w:rsidRPr="00000000">
        <w:rPr>
          <w:rFonts w:ascii="Aptos" w:cs="Aptos" w:eastAsia="Aptos" w:hAnsi="Aptos"/>
          <w:rtl w:val="0"/>
        </w:rPr>
        <w:t xml:space="preserve">   El paciente presenta un Trastorno por Déficit de Atención con Hiperactividad, de curso crónico y perfil combinado, manifestado desde la infancia. Sus síntomas de inatención (distraibilidad, dificultad para mantener la concentración) y de hiperactividad/impulsividad (inquietud motora, respuestas precipitadas) han sido persistentes y afectan su funcionamiento diario.</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Comorbilidad con TEA:</w:t>
      </w:r>
      <w:r w:rsidDel="00000000" w:rsidR="00000000" w:rsidRPr="00000000">
        <w:rPr>
          <w:rtl w:val="0"/>
        </w:rPr>
      </w:r>
    </w:p>
    <w:p w:rsidR="00000000" w:rsidDel="00000000" w:rsidP="00000000" w:rsidRDefault="00000000" w:rsidRPr="00000000" w14:paraId="00000049">
      <w:pPr>
        <w:spacing w:line="276" w:lineRule="auto"/>
        <w:jc w:val="both"/>
        <w:rPr>
          <w:rFonts w:ascii="Aptos" w:cs="Aptos" w:eastAsia="Aptos" w:hAnsi="Aptos"/>
        </w:rPr>
      </w:pPr>
      <w:r w:rsidDel="00000000" w:rsidR="00000000" w:rsidRPr="00000000">
        <w:rPr>
          <w:rFonts w:ascii="Aptos" w:cs="Aptos" w:eastAsia="Aptos" w:hAnsi="Aptos"/>
          <w:rtl w:val="0"/>
        </w:rPr>
        <w:t xml:space="preserve">   Además del TDAH, la evaluación reveló rasgos compatibles con un TEA leve a moderado: interpretación literal del lenguaje y sentimientos crónicos de no encajar en situaciones sociales. Estas características sensoriales y sociales coexisten con el TDAH, influyendo mutuamente en la adaptación al entorno.</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Impacto funcional combinado:</w:t>
      </w:r>
      <w:r w:rsidDel="00000000" w:rsidR="00000000" w:rsidRPr="00000000">
        <w:rPr>
          <w:rtl w:val="0"/>
        </w:rPr>
      </w:r>
    </w:p>
    <w:p w:rsidR="00000000" w:rsidDel="00000000" w:rsidP="00000000" w:rsidRDefault="00000000" w:rsidRPr="00000000" w14:paraId="0000004B">
      <w:pPr>
        <w:spacing w:line="276" w:lineRule="auto"/>
        <w:jc w:val="both"/>
        <w:rPr/>
      </w:pPr>
      <w:r w:rsidDel="00000000" w:rsidR="00000000" w:rsidRPr="00000000">
        <w:rPr>
          <w:rFonts w:ascii="Aptos" w:cs="Aptos" w:eastAsia="Aptos" w:hAnsi="Aptos"/>
          <w:rtl w:val="0"/>
        </w:rPr>
        <w:t xml:space="preserve">El TDAH contribuye a un bajo rendimiento académico y desorganización en tareas diarias.</w:t>
      </w:r>
      <w:r w:rsidDel="00000000" w:rsidR="00000000" w:rsidRPr="00000000">
        <w:rPr>
          <w:rtl w:val="0"/>
        </w:rPr>
      </w:r>
    </w:p>
    <w:p w:rsidR="00000000" w:rsidDel="00000000" w:rsidP="00000000" w:rsidRDefault="00000000" w:rsidRPr="00000000" w14:paraId="0000004C">
      <w:pPr>
        <w:spacing w:line="276" w:lineRule="auto"/>
        <w:jc w:val="both"/>
        <w:rPr/>
      </w:pPr>
      <w:r w:rsidDel="00000000" w:rsidR="00000000" w:rsidRPr="00000000">
        <w:rPr>
          <w:rFonts w:ascii="Aptos" w:cs="Aptos" w:eastAsia="Aptos" w:hAnsi="Aptos"/>
          <w:rtl w:val="0"/>
        </w:rPr>
        <w:t xml:space="preserve">El TEA añade ansiedad en contextos no estructurados y aumenta la sensación de exclusión social.</w:t>
      </w:r>
      <w:r w:rsidDel="00000000" w:rsidR="00000000" w:rsidRPr="00000000">
        <w:rPr>
          <w:rtl w:val="0"/>
        </w:rPr>
      </w:r>
    </w:p>
    <w:p w:rsidR="00000000" w:rsidDel="00000000" w:rsidP="00000000" w:rsidRDefault="00000000" w:rsidRPr="00000000" w14:paraId="0000004D">
      <w:pPr>
        <w:spacing w:line="276" w:lineRule="auto"/>
        <w:jc w:val="both"/>
        <w:rPr>
          <w:rFonts w:ascii="Aptos" w:cs="Aptos" w:eastAsia="Aptos" w:hAnsi="Aptos"/>
        </w:rPr>
      </w:pPr>
      <w:r w:rsidDel="00000000" w:rsidR="00000000" w:rsidRPr="00000000">
        <w:rPr>
          <w:rFonts w:ascii="Aptos" w:cs="Aptos" w:eastAsia="Aptos" w:hAnsi="Aptos"/>
          <w:rtl w:val="0"/>
        </w:rPr>
        <w:t xml:space="preserve">En conjunto, estos trastornos generan malestar significativo, conflictos interpersonales y obstaculizan el desarrollo de habilidades socioemocionales.</w:t>
      </w:r>
    </w:p>
    <w:p w:rsidR="00000000" w:rsidDel="00000000" w:rsidP="00000000" w:rsidRDefault="00000000" w:rsidRPr="00000000" w14:paraId="0000004E">
      <w:pPr>
        <w:spacing w:line="276" w:lineRule="auto"/>
        <w:jc w:val="both"/>
        <w:rPr/>
      </w:pPr>
      <w:r w:rsidDel="00000000" w:rsidR="00000000" w:rsidRPr="00000000">
        <w:rPr>
          <w:rFonts w:ascii="Aptos" w:cs="Aptos" w:eastAsia="Aptos" w:hAnsi="Aptos"/>
          <w:rtl w:val="0"/>
        </w:rPr>
        <w:t xml:space="preserve">Estas conclusiones resaltan la prioridad de abordar el TDAH como factor principal de intervención, al tiempo que se considera la influencia del TEA en el bienestar y la adaptación global del paciente.</w:t>
      </w:r>
      <w:r w:rsidDel="00000000" w:rsidR="00000000" w:rsidRPr="00000000">
        <w:rPr>
          <w:rtl w:val="0"/>
        </w:rPr>
      </w:r>
    </w:p>
    <w:tbl>
      <w:tblPr>
        <w:tblStyle w:val="Table9"/>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rHeight w:val="300" w:hRule="atLeast"/>
          <w:tblHeader w:val="0"/>
        </w:trPr>
        <w:tc>
          <w:tcPr>
            <w:shd w:fill="000000" w:val="clear"/>
          </w:tcPr>
          <w:p w:rsidR="00000000" w:rsidDel="00000000" w:rsidP="00000000" w:rsidRDefault="00000000" w:rsidRPr="00000000" w14:paraId="0000004F">
            <w:pPr>
              <w:rPr>
                <w:rFonts w:ascii="Play" w:cs="Play" w:eastAsia="Play" w:hAnsi="Play"/>
                <w:b w:val="1"/>
                <w:color w:val="ffffff"/>
                <w:sz w:val="28"/>
                <w:szCs w:val="28"/>
              </w:rPr>
            </w:pPr>
            <w:r w:rsidDel="00000000" w:rsidR="00000000" w:rsidRPr="00000000">
              <w:rPr>
                <w:rFonts w:ascii="Play" w:cs="Play" w:eastAsia="Play" w:hAnsi="Play"/>
                <w:b w:val="1"/>
                <w:color w:val="ffffff"/>
                <w:sz w:val="28"/>
                <w:szCs w:val="28"/>
                <w:rtl w:val="0"/>
              </w:rPr>
              <w:t xml:space="preserve">SUGERENCIAS O RECOMENDACIONES</w:t>
            </w:r>
          </w:p>
        </w:tc>
      </w:tr>
    </w:tbl>
    <w:p w:rsidR="00000000" w:rsidDel="00000000" w:rsidP="00000000" w:rsidRDefault="00000000" w:rsidRPr="00000000" w14:paraId="00000050">
      <w:pPr>
        <w:spacing w:line="276" w:lineRule="auto"/>
        <w:jc w:val="both"/>
        <w:rPr/>
      </w:pPr>
      <w:r w:rsidDel="00000000" w:rsidR="00000000" w:rsidRPr="00000000">
        <w:rPr>
          <w:rtl w:val="0"/>
        </w:rPr>
      </w:r>
    </w:p>
    <w:p w:rsidR="00000000" w:rsidDel="00000000" w:rsidP="00000000" w:rsidRDefault="00000000" w:rsidRPr="00000000" w14:paraId="00000051">
      <w:pPr>
        <w:spacing w:line="276" w:lineRule="auto"/>
        <w:jc w:val="both"/>
        <w:rPr>
          <w:rFonts w:ascii="Play" w:cs="Play" w:eastAsia="Play" w:hAnsi="Play"/>
          <w:b w:val="1"/>
        </w:rPr>
      </w:pPr>
      <w:r w:rsidDel="00000000" w:rsidR="00000000" w:rsidRPr="00000000">
        <w:rPr>
          <w:rFonts w:ascii="Play" w:cs="Play" w:eastAsia="Play" w:hAnsi="Play"/>
          <w:b w:val="1"/>
          <w:rtl w:val="0"/>
        </w:rPr>
        <w:t xml:space="preserve">Se recomienda intervención en: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Estrategias de comunicación: le ayudarán a comprender y a comunicarse de manera efectiva con su entorno.</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Aceptación y comprensión personal: le permitirá sentirse tranquilo y eliminar la culpa por comportamientos que tienen orígenes neurobiológicos.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Continuar con tratamiento psicológico: le ayudará a tratar y a entender los padecimientos.</w:t>
      </w:r>
      <w:r w:rsidDel="00000000" w:rsidR="00000000" w:rsidRPr="00000000">
        <w:rPr>
          <w:rtl w:val="0"/>
        </w:rPr>
      </w:r>
    </w:p>
    <w:sectPr>
      <w:headerReference r:id="rId10" w:type="default"/>
      <w:footerReference r:id="rId11" w:type="default"/>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018NkVM7mZSo56ouFuZ6o0Eeg==">CgMxLjA4AHIhMUg3RXVvMjhYNkU0dU5aTnZ5MHN1LUx6blFTbGRVYTFR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