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2F1C" w14:textId="74CDE74C" w:rsidR="009E3C54" w:rsidRDefault="008C4191" w:rsidP="009E3C54">
      <w:pPr>
        <w:rPr>
          <w:rFonts w:ascii="Gill Sans MT" w:hAnsi="Gill Sans MT"/>
        </w:rPr>
      </w:pPr>
      <w:r>
        <w:rPr>
          <w:rFonts w:ascii="Gill Sans MT" w:hAnsi="Gill Sans MT"/>
          <w:noProof/>
        </w:rPr>
        <w:drawing>
          <wp:anchor distT="0" distB="0" distL="114300" distR="114300" simplePos="0" relativeHeight="251658240" behindDoc="0" locked="0" layoutInCell="1" allowOverlap="1" wp14:anchorId="1A2F393C" wp14:editId="3FEF1C23">
            <wp:simplePos x="0" y="0"/>
            <wp:positionH relativeFrom="page">
              <wp:align>left</wp:align>
            </wp:positionH>
            <wp:positionV relativeFrom="paragraph">
              <wp:posOffset>-899795</wp:posOffset>
            </wp:positionV>
            <wp:extent cx="2152650" cy="2124075"/>
            <wp:effectExtent l="0" t="0" r="0" b="9525"/>
            <wp:wrapNone/>
            <wp:docPr id="764407440"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07440" name="Imagen 1" descr="Logotipo, nombre de la empresa&#10;&#10;El contenido generado por IA puede ser incorrecto."/>
                    <pic:cNvPicPr/>
                  </pic:nvPicPr>
                  <pic:blipFill>
                    <a:blip r:embed="rId5">
                      <a:extLst>
                        <a:ext uri="{28A0092B-C50C-407E-A947-70E740481C1C}">
                          <a14:useLocalDpi xmlns:a14="http://schemas.microsoft.com/office/drawing/2010/main" val="0"/>
                        </a:ext>
                      </a:extLst>
                    </a:blip>
                    <a:stretch>
                      <a:fillRect/>
                    </a:stretch>
                  </pic:blipFill>
                  <pic:spPr>
                    <a:xfrm>
                      <a:off x="0" y="0"/>
                      <a:ext cx="2152650" cy="2124075"/>
                    </a:xfrm>
                    <a:prstGeom prst="rect">
                      <a:avLst/>
                    </a:prstGeom>
                  </pic:spPr>
                </pic:pic>
              </a:graphicData>
            </a:graphic>
          </wp:anchor>
        </w:drawing>
      </w:r>
    </w:p>
    <w:p w14:paraId="03F39F90" w14:textId="6965F5AA" w:rsidR="009E3C54" w:rsidRDefault="008C4191" w:rsidP="008C4191">
      <w:pPr>
        <w:jc w:val="center"/>
        <w:rPr>
          <w:rFonts w:ascii="Gill Sans MT" w:hAnsi="Gill Sans MT"/>
          <w:sz w:val="44"/>
          <w:szCs w:val="44"/>
        </w:rPr>
      </w:pPr>
      <w:r>
        <w:rPr>
          <w:rFonts w:ascii="Gill Sans MT" w:hAnsi="Gill Sans MT"/>
          <w:sz w:val="44"/>
          <w:szCs w:val="44"/>
        </w:rPr>
        <w:t>ENSAYO</w:t>
      </w:r>
    </w:p>
    <w:p w14:paraId="0A44801E" w14:textId="77777777" w:rsidR="008C4191" w:rsidRDefault="008C4191" w:rsidP="009E3C54">
      <w:pPr>
        <w:rPr>
          <w:rFonts w:ascii="Gill Sans MT" w:hAnsi="Gill Sans MT"/>
          <w:sz w:val="44"/>
          <w:szCs w:val="44"/>
        </w:rPr>
      </w:pPr>
    </w:p>
    <w:p w14:paraId="2200282D" w14:textId="77777777" w:rsidR="008C4191" w:rsidRDefault="008C4191" w:rsidP="009E3C54">
      <w:pPr>
        <w:rPr>
          <w:rFonts w:ascii="Gill Sans MT" w:hAnsi="Gill Sans MT"/>
          <w:sz w:val="44"/>
          <w:szCs w:val="44"/>
        </w:rPr>
      </w:pPr>
    </w:p>
    <w:p w14:paraId="7DFCF60D" w14:textId="77777777" w:rsidR="008C4191" w:rsidRDefault="008C4191" w:rsidP="009E3C54">
      <w:pPr>
        <w:rPr>
          <w:rFonts w:ascii="Gill Sans MT" w:hAnsi="Gill Sans MT"/>
          <w:sz w:val="44"/>
          <w:szCs w:val="44"/>
        </w:rPr>
      </w:pPr>
    </w:p>
    <w:p w14:paraId="5F8E9CCA" w14:textId="77777777" w:rsidR="008C4191" w:rsidRDefault="008C4191" w:rsidP="009E3C54">
      <w:pPr>
        <w:rPr>
          <w:rFonts w:ascii="Gill Sans MT" w:hAnsi="Gill Sans MT"/>
          <w:sz w:val="44"/>
          <w:szCs w:val="44"/>
        </w:rPr>
      </w:pPr>
    </w:p>
    <w:p w14:paraId="03447A4D" w14:textId="77777777" w:rsidR="008C4191" w:rsidRDefault="008C4191" w:rsidP="008C4191">
      <w:pPr>
        <w:jc w:val="center"/>
        <w:rPr>
          <w:rFonts w:ascii="Gill Sans MT" w:hAnsi="Gill Sans MT"/>
          <w:sz w:val="44"/>
          <w:szCs w:val="44"/>
        </w:rPr>
      </w:pPr>
    </w:p>
    <w:p w14:paraId="2E54BD09" w14:textId="77777777" w:rsidR="008C4191" w:rsidRDefault="008C4191" w:rsidP="008C4191">
      <w:pPr>
        <w:jc w:val="center"/>
        <w:rPr>
          <w:rFonts w:ascii="Gill Sans MT" w:hAnsi="Gill Sans MT"/>
          <w:sz w:val="44"/>
          <w:szCs w:val="44"/>
        </w:rPr>
      </w:pPr>
    </w:p>
    <w:p w14:paraId="2F1EF990" w14:textId="77777777" w:rsidR="008C4191" w:rsidRPr="008C4191" w:rsidRDefault="008C4191" w:rsidP="008C4191">
      <w:pPr>
        <w:jc w:val="center"/>
        <w:rPr>
          <w:rFonts w:ascii="Gill Sans MT" w:hAnsi="Gill Sans MT"/>
          <w:sz w:val="44"/>
          <w:szCs w:val="44"/>
        </w:rPr>
      </w:pPr>
      <w:r w:rsidRPr="008C4191">
        <w:rPr>
          <w:rFonts w:ascii="Gill Sans MT" w:hAnsi="Gill Sans MT"/>
          <w:sz w:val="44"/>
          <w:szCs w:val="44"/>
        </w:rPr>
        <w:t>PRACTICAS EN NUTRICION CLINICA II</w:t>
      </w:r>
    </w:p>
    <w:p w14:paraId="7A001C54" w14:textId="77777777" w:rsidR="008C4191" w:rsidRDefault="008C4191" w:rsidP="008C4191">
      <w:pPr>
        <w:jc w:val="center"/>
        <w:rPr>
          <w:rFonts w:ascii="Gill Sans MT" w:hAnsi="Gill Sans MT"/>
          <w:sz w:val="44"/>
          <w:szCs w:val="44"/>
        </w:rPr>
      </w:pPr>
    </w:p>
    <w:p w14:paraId="0223A279" w14:textId="77777777" w:rsidR="008C4191" w:rsidRDefault="008C4191" w:rsidP="008C4191">
      <w:pPr>
        <w:jc w:val="center"/>
        <w:rPr>
          <w:rFonts w:ascii="Gill Sans MT" w:hAnsi="Gill Sans MT"/>
          <w:sz w:val="44"/>
          <w:szCs w:val="44"/>
        </w:rPr>
      </w:pPr>
    </w:p>
    <w:p w14:paraId="65C7ACDF" w14:textId="77777777" w:rsidR="008C4191" w:rsidRDefault="008C4191" w:rsidP="008C4191">
      <w:pPr>
        <w:jc w:val="center"/>
        <w:rPr>
          <w:rFonts w:ascii="Gill Sans MT" w:hAnsi="Gill Sans MT"/>
          <w:sz w:val="44"/>
          <w:szCs w:val="44"/>
        </w:rPr>
      </w:pPr>
    </w:p>
    <w:p w14:paraId="05F22207" w14:textId="77777777" w:rsidR="008C4191" w:rsidRDefault="008C4191" w:rsidP="008C4191">
      <w:pPr>
        <w:jc w:val="center"/>
        <w:rPr>
          <w:rFonts w:ascii="Gill Sans MT" w:hAnsi="Gill Sans MT"/>
          <w:sz w:val="44"/>
          <w:szCs w:val="44"/>
        </w:rPr>
      </w:pPr>
    </w:p>
    <w:p w14:paraId="4666DC1E" w14:textId="77777777" w:rsidR="008C4191" w:rsidRDefault="008C4191" w:rsidP="008C4191">
      <w:pPr>
        <w:jc w:val="center"/>
        <w:rPr>
          <w:rFonts w:ascii="Gill Sans MT" w:hAnsi="Gill Sans MT"/>
          <w:sz w:val="44"/>
          <w:szCs w:val="44"/>
        </w:rPr>
      </w:pPr>
    </w:p>
    <w:p w14:paraId="183E3030" w14:textId="35101E4A" w:rsidR="008C4191" w:rsidRDefault="008C4191" w:rsidP="008C4191">
      <w:pPr>
        <w:jc w:val="center"/>
        <w:rPr>
          <w:rFonts w:ascii="Gill Sans MT" w:hAnsi="Gill Sans MT"/>
          <w:sz w:val="44"/>
          <w:szCs w:val="44"/>
        </w:rPr>
      </w:pPr>
      <w:r>
        <w:rPr>
          <w:rFonts w:ascii="Gill Sans MT" w:hAnsi="Gill Sans MT"/>
          <w:sz w:val="44"/>
          <w:szCs w:val="44"/>
        </w:rPr>
        <w:t>ANGEL GABRIEL OJEDA ALTUZAR</w:t>
      </w:r>
    </w:p>
    <w:p w14:paraId="7BD451CB" w14:textId="77777777" w:rsidR="008C4191" w:rsidRDefault="008C4191" w:rsidP="008C4191">
      <w:pPr>
        <w:jc w:val="center"/>
        <w:rPr>
          <w:rFonts w:ascii="Gill Sans MT" w:hAnsi="Gill Sans MT"/>
          <w:sz w:val="44"/>
          <w:szCs w:val="44"/>
        </w:rPr>
      </w:pPr>
    </w:p>
    <w:p w14:paraId="11C5AE70" w14:textId="77777777" w:rsidR="008C4191" w:rsidRDefault="008C4191" w:rsidP="009E3C54">
      <w:pPr>
        <w:rPr>
          <w:rFonts w:ascii="Gill Sans MT" w:hAnsi="Gill Sans MT"/>
          <w:sz w:val="44"/>
          <w:szCs w:val="44"/>
        </w:rPr>
      </w:pPr>
    </w:p>
    <w:p w14:paraId="27904911" w14:textId="0997708E" w:rsidR="009E3C54" w:rsidRPr="009E3C54" w:rsidRDefault="009E3C54" w:rsidP="009E3C54">
      <w:pPr>
        <w:rPr>
          <w:rFonts w:ascii="Gill Sans MT" w:hAnsi="Gill Sans MT"/>
        </w:rPr>
      </w:pPr>
      <w:r w:rsidRPr="009E3C54">
        <w:rPr>
          <w:rFonts w:ascii="Gill Sans MT" w:hAnsi="Gill Sans MT"/>
        </w:rPr>
        <w:lastRenderedPageBreak/>
        <w:t>La valoración nutricional de pacientes postrados constituye una de las piedras angulares en el tratamiento y recuperación clínica. Estos pacientes, debido a su inmovilidad y condiciones subyacentes, presentan un alto riesgo de desnutrición, pérdida muscular, disfunciones metabólicas y complicaciones sistémicas. Una valoración nutricional adecuada no solo permite detectar precozmente estas alteraciones, sino también intervenir oportunamente para mejorar el pronóstico clínico y la calidad de vida. A continuación, se argumenta por qué esta valoración debe ser integral, considerando parámetros antropométricos, bioquímicos, clínicos, inmunológicos y funcionales.</w:t>
      </w:r>
    </w:p>
    <w:p w14:paraId="654FD18A" w14:textId="1B40A5E7" w:rsidR="009E3C54" w:rsidRPr="009E3C54" w:rsidRDefault="009E3C54" w:rsidP="009E3C54">
      <w:pPr>
        <w:rPr>
          <w:rFonts w:ascii="Gill Sans MT" w:hAnsi="Gill Sans MT"/>
        </w:rPr>
      </w:pPr>
      <w:r w:rsidRPr="009E3C54">
        <w:rPr>
          <w:rFonts w:ascii="Gill Sans MT" w:hAnsi="Gill Sans MT"/>
        </w:rPr>
        <w:t>Valoración nutricional en pacientes postrados</w:t>
      </w:r>
    </w:p>
    <w:p w14:paraId="42267619" w14:textId="77777777" w:rsidR="009E3C54" w:rsidRPr="009E3C54" w:rsidRDefault="009E3C54" w:rsidP="009E3C54">
      <w:pPr>
        <w:rPr>
          <w:rFonts w:ascii="Gill Sans MT" w:hAnsi="Gill Sans MT"/>
        </w:rPr>
      </w:pPr>
      <w:r w:rsidRPr="009E3C54">
        <w:rPr>
          <w:rFonts w:ascii="Gill Sans MT" w:hAnsi="Gill Sans MT"/>
        </w:rPr>
        <w:t>Los pacientes postrados presentan múltiples factores que condicionan su estado nutricional: reducción de la actividad física, inflamación crónica, consumo energético alterado y dificultades para la alimentación. Por tanto, es esencial una evaluación sistemática que permita adaptar la terapia nutricional a las necesidades individuales.</w:t>
      </w:r>
    </w:p>
    <w:p w14:paraId="588D6430" w14:textId="3A9C84EF" w:rsidR="009E3C54" w:rsidRPr="009E3C54" w:rsidRDefault="009E3C54" w:rsidP="009E3C54">
      <w:pPr>
        <w:rPr>
          <w:rFonts w:ascii="Gill Sans MT" w:hAnsi="Gill Sans MT"/>
        </w:rPr>
      </w:pPr>
      <w:r w:rsidRPr="009E3C54">
        <w:rPr>
          <w:rFonts w:ascii="Gill Sans MT" w:hAnsi="Gill Sans MT"/>
        </w:rPr>
        <w:t xml:space="preserve"> Determinación de la estructura y composición corporal</w:t>
      </w:r>
    </w:p>
    <w:p w14:paraId="43496DBD" w14:textId="77777777" w:rsidR="009E3C54" w:rsidRPr="009E3C54" w:rsidRDefault="009E3C54" w:rsidP="009E3C54">
      <w:pPr>
        <w:rPr>
          <w:rFonts w:ascii="Gill Sans MT" w:hAnsi="Gill Sans MT"/>
        </w:rPr>
      </w:pPr>
      <w:r w:rsidRPr="009E3C54">
        <w:rPr>
          <w:rFonts w:ascii="Gill Sans MT" w:hAnsi="Gill Sans MT"/>
        </w:rPr>
        <w:t>El primer paso en la valoración es entender cómo está compuesto el cuerpo del paciente. Esto permite identificar pérdidas de masa muscular, acumulación de líquidos o cambios en la grasa corporal, fundamentales para el diagnóstico nutricional.</w:t>
      </w:r>
    </w:p>
    <w:p w14:paraId="7303BF81" w14:textId="59372D6C" w:rsidR="009E3C54" w:rsidRPr="009E3C54" w:rsidRDefault="009E3C54" w:rsidP="009E3C54">
      <w:pPr>
        <w:rPr>
          <w:rFonts w:ascii="Gill Sans MT" w:hAnsi="Gill Sans MT"/>
        </w:rPr>
      </w:pPr>
      <w:r w:rsidRPr="009E3C54">
        <w:rPr>
          <w:rFonts w:ascii="Gill Sans MT" w:hAnsi="Gill Sans MT"/>
        </w:rPr>
        <w:t>Medidas antropométricas</w:t>
      </w:r>
    </w:p>
    <w:p w14:paraId="71D69B84" w14:textId="0914FCA8" w:rsidR="009E3C54" w:rsidRPr="009E3C54" w:rsidRDefault="009E3C54" w:rsidP="009E3C54">
      <w:pPr>
        <w:rPr>
          <w:rFonts w:ascii="Gill Sans MT" w:hAnsi="Gill Sans MT"/>
        </w:rPr>
      </w:pPr>
      <w:r w:rsidRPr="009E3C54">
        <w:rPr>
          <w:rFonts w:ascii="Gill Sans MT" w:hAnsi="Gill Sans MT"/>
        </w:rPr>
        <w:t xml:space="preserve"> Talla y peso: Aunque básicas, estas medidas permiten calcular el índice de masa corporal (IMC), herramienta útil en pacientes móviles, pero limitada en los postrados por posibles edemas o contracturas.</w:t>
      </w:r>
    </w:p>
    <w:p w14:paraId="51190745" w14:textId="1B21A33E" w:rsidR="009E3C54" w:rsidRPr="009E3C54" w:rsidRDefault="009E3C54" w:rsidP="009E3C54">
      <w:pPr>
        <w:rPr>
          <w:rFonts w:ascii="Gill Sans MT" w:hAnsi="Gill Sans MT"/>
        </w:rPr>
      </w:pPr>
      <w:r w:rsidRPr="009E3C54">
        <w:rPr>
          <w:rFonts w:ascii="Gill Sans MT" w:hAnsi="Gill Sans MT"/>
        </w:rPr>
        <w:t xml:space="preserve"> Grasa corporal: Medida mediante pliegues cutáneos o técnicas como la bioimpedancia, indica el estado energético del paciente.</w:t>
      </w:r>
    </w:p>
    <w:p w14:paraId="00921247" w14:textId="77777777" w:rsidR="009E3C54" w:rsidRDefault="009E3C54" w:rsidP="009E3C54">
      <w:pPr>
        <w:rPr>
          <w:rFonts w:ascii="Gill Sans MT" w:hAnsi="Gill Sans MT"/>
        </w:rPr>
      </w:pPr>
      <w:r w:rsidRPr="009E3C54">
        <w:rPr>
          <w:rFonts w:ascii="Gill Sans MT" w:hAnsi="Gill Sans MT"/>
        </w:rPr>
        <w:t xml:space="preserve"> Masa muscular: Fundamental en la evaluación de la sarcopenia, su deterioro está asociado con mayor mortalidad y complicaciones.</w:t>
      </w:r>
    </w:p>
    <w:p w14:paraId="452B7255" w14:textId="6F0DD42F" w:rsidR="009E3C54" w:rsidRPr="009E3C54" w:rsidRDefault="009E3C54" w:rsidP="009E3C54">
      <w:pPr>
        <w:rPr>
          <w:rFonts w:ascii="Gill Sans MT" w:hAnsi="Gill Sans MT"/>
        </w:rPr>
      </w:pPr>
      <w:r w:rsidRPr="009E3C54">
        <w:rPr>
          <w:rFonts w:ascii="Gill Sans MT" w:hAnsi="Gill Sans MT"/>
        </w:rPr>
        <w:t xml:space="preserve"> Otros métodos: Técnicas como DEXA o tomografía permiten estimar la composición corporal con mayor precisión, aunque su uso se limita por accesibilidad.</w:t>
      </w:r>
    </w:p>
    <w:p w14:paraId="2ECDEE49" w14:textId="52AEFD87" w:rsidR="009E3C54" w:rsidRPr="009E3C54" w:rsidRDefault="009E3C54" w:rsidP="009E3C54">
      <w:pPr>
        <w:rPr>
          <w:rFonts w:ascii="Gill Sans MT" w:hAnsi="Gill Sans MT"/>
        </w:rPr>
      </w:pPr>
      <w:r w:rsidRPr="009E3C54">
        <w:rPr>
          <w:rFonts w:ascii="Gill Sans MT" w:hAnsi="Gill Sans MT"/>
        </w:rPr>
        <w:t xml:space="preserve"> Determinaciones bioquímicas</w:t>
      </w:r>
    </w:p>
    <w:p w14:paraId="2D3B4455" w14:textId="77777777" w:rsidR="009E3C54" w:rsidRPr="009E3C54" w:rsidRDefault="009E3C54" w:rsidP="009E3C54">
      <w:pPr>
        <w:rPr>
          <w:rFonts w:ascii="Gill Sans MT" w:hAnsi="Gill Sans MT"/>
        </w:rPr>
      </w:pPr>
      <w:r w:rsidRPr="009E3C54">
        <w:rPr>
          <w:rFonts w:ascii="Gill Sans MT" w:hAnsi="Gill Sans MT"/>
        </w:rPr>
        <w:t>Parámetros como la albúmina, prealbúmina, proteína C reactiva y electrolitos ofrecen una visión del estado nutricional y del metabolismo proteico. Aunque sensibles, pueden alterarse por la inflamación, por lo que deben interpretarse con cautela.</w:t>
      </w:r>
    </w:p>
    <w:p w14:paraId="55B9343D" w14:textId="69EFBE7D" w:rsidR="009E3C54" w:rsidRPr="009E3C54" w:rsidRDefault="009E3C54" w:rsidP="009E3C54">
      <w:pPr>
        <w:rPr>
          <w:rFonts w:ascii="Gill Sans MT" w:hAnsi="Gill Sans MT"/>
        </w:rPr>
      </w:pPr>
      <w:r w:rsidRPr="009E3C54">
        <w:rPr>
          <w:rFonts w:ascii="Gill Sans MT" w:hAnsi="Gill Sans MT"/>
        </w:rPr>
        <w:t xml:space="preserve"> Valoración clínica del estado nutricional</w:t>
      </w:r>
    </w:p>
    <w:p w14:paraId="3D15ED50" w14:textId="77777777" w:rsidR="009E3C54" w:rsidRPr="009E3C54" w:rsidRDefault="009E3C54" w:rsidP="009E3C54">
      <w:pPr>
        <w:rPr>
          <w:rFonts w:ascii="Gill Sans MT" w:hAnsi="Gill Sans MT"/>
        </w:rPr>
      </w:pPr>
      <w:r w:rsidRPr="009E3C54">
        <w:rPr>
          <w:rFonts w:ascii="Gill Sans MT" w:hAnsi="Gill Sans MT"/>
        </w:rPr>
        <w:t xml:space="preserve">La exploración física permite observar signos de desnutrición como pérdida de masa muscular, atrofia, úlceras por presión y cambios en piel o mucosas. Esta evaluación, </w:t>
      </w:r>
      <w:r w:rsidRPr="009E3C54">
        <w:rPr>
          <w:rFonts w:ascii="Gill Sans MT" w:hAnsi="Gill Sans MT"/>
        </w:rPr>
        <w:lastRenderedPageBreak/>
        <w:t>realizada por personal entrenado, es crucial para identificar casos avanzados o encubiertos de desnutrición.</w:t>
      </w:r>
    </w:p>
    <w:p w14:paraId="0D3DF826" w14:textId="7B83AED5" w:rsidR="009E3C54" w:rsidRPr="009E3C54" w:rsidRDefault="009E3C54" w:rsidP="009E3C54">
      <w:pPr>
        <w:rPr>
          <w:rFonts w:ascii="Gill Sans MT" w:hAnsi="Gill Sans MT"/>
        </w:rPr>
      </w:pPr>
      <w:r w:rsidRPr="009E3C54">
        <w:rPr>
          <w:rFonts w:ascii="Gill Sans MT" w:hAnsi="Gill Sans MT"/>
        </w:rPr>
        <w:t>Otros sistemas de evaluación</w:t>
      </w:r>
    </w:p>
    <w:p w14:paraId="1D65745E" w14:textId="77777777" w:rsidR="009E3C54" w:rsidRPr="009E3C54" w:rsidRDefault="009E3C54" w:rsidP="009E3C54">
      <w:pPr>
        <w:rPr>
          <w:rFonts w:ascii="Gill Sans MT" w:hAnsi="Gill Sans MT"/>
        </w:rPr>
      </w:pPr>
      <w:r w:rsidRPr="009E3C54">
        <w:rPr>
          <w:rFonts w:ascii="Gill Sans MT" w:hAnsi="Gill Sans MT"/>
        </w:rPr>
        <w:t xml:space="preserve">Herramientas como el </w:t>
      </w:r>
      <w:proofErr w:type="spellStart"/>
      <w:r w:rsidRPr="009E3C54">
        <w:rPr>
          <w:rFonts w:ascii="Gill Sans MT" w:hAnsi="Gill Sans MT"/>
        </w:rPr>
        <w:t>Subjective</w:t>
      </w:r>
      <w:proofErr w:type="spellEnd"/>
      <w:r w:rsidRPr="009E3C54">
        <w:rPr>
          <w:rFonts w:ascii="Gill Sans MT" w:hAnsi="Gill Sans MT"/>
        </w:rPr>
        <w:t xml:space="preserve"> Global </w:t>
      </w:r>
      <w:proofErr w:type="spellStart"/>
      <w:r w:rsidRPr="009E3C54">
        <w:rPr>
          <w:rFonts w:ascii="Gill Sans MT" w:hAnsi="Gill Sans MT"/>
        </w:rPr>
        <w:t>Assessment</w:t>
      </w:r>
      <w:proofErr w:type="spellEnd"/>
      <w:r w:rsidRPr="009E3C54">
        <w:rPr>
          <w:rFonts w:ascii="Gill Sans MT" w:hAnsi="Gill Sans MT"/>
        </w:rPr>
        <w:t xml:space="preserve"> (SGA) o el Mini </w:t>
      </w:r>
      <w:proofErr w:type="spellStart"/>
      <w:r w:rsidRPr="009E3C54">
        <w:rPr>
          <w:rFonts w:ascii="Gill Sans MT" w:hAnsi="Gill Sans MT"/>
        </w:rPr>
        <w:t>Nutritional</w:t>
      </w:r>
      <w:proofErr w:type="spellEnd"/>
      <w:r w:rsidRPr="009E3C54">
        <w:rPr>
          <w:rFonts w:ascii="Gill Sans MT" w:hAnsi="Gill Sans MT"/>
        </w:rPr>
        <w:t xml:space="preserve"> </w:t>
      </w:r>
      <w:proofErr w:type="spellStart"/>
      <w:r w:rsidRPr="009E3C54">
        <w:rPr>
          <w:rFonts w:ascii="Gill Sans MT" w:hAnsi="Gill Sans MT"/>
        </w:rPr>
        <w:t>Assessment</w:t>
      </w:r>
      <w:proofErr w:type="spellEnd"/>
      <w:r w:rsidRPr="009E3C54">
        <w:rPr>
          <w:rFonts w:ascii="Gill Sans MT" w:hAnsi="Gill Sans MT"/>
        </w:rPr>
        <w:t xml:space="preserve"> (MNA) integran datos clínicos, dietéticos y físicos para brindar una visión global del estado nutricional.</w:t>
      </w:r>
    </w:p>
    <w:p w14:paraId="582DF437" w14:textId="1EEB321D" w:rsidR="009E3C54" w:rsidRPr="009E3C54" w:rsidRDefault="009E3C54" w:rsidP="009E3C54">
      <w:pPr>
        <w:rPr>
          <w:rFonts w:ascii="Gill Sans MT" w:hAnsi="Gill Sans MT"/>
        </w:rPr>
      </w:pPr>
      <w:r w:rsidRPr="009E3C54">
        <w:rPr>
          <w:rFonts w:ascii="Gill Sans MT" w:hAnsi="Gill Sans MT"/>
        </w:rPr>
        <w:t xml:space="preserve"> Parámetros inmunológicos</w:t>
      </w:r>
    </w:p>
    <w:p w14:paraId="01784644" w14:textId="77777777" w:rsidR="009E3C54" w:rsidRDefault="009E3C54" w:rsidP="009E3C54">
      <w:pPr>
        <w:rPr>
          <w:rFonts w:ascii="Gill Sans MT" w:hAnsi="Gill Sans MT"/>
        </w:rPr>
      </w:pPr>
      <w:r w:rsidRPr="009E3C54">
        <w:rPr>
          <w:rFonts w:ascii="Gill Sans MT" w:hAnsi="Gill Sans MT"/>
        </w:rPr>
        <w:t xml:space="preserve">La </w:t>
      </w:r>
      <w:proofErr w:type="spellStart"/>
      <w:r w:rsidRPr="009E3C54">
        <w:rPr>
          <w:rFonts w:ascii="Gill Sans MT" w:hAnsi="Gill Sans MT"/>
        </w:rPr>
        <w:t>linfocitopenia</w:t>
      </w:r>
      <w:proofErr w:type="spellEnd"/>
      <w:r w:rsidRPr="009E3C54">
        <w:rPr>
          <w:rFonts w:ascii="Gill Sans MT" w:hAnsi="Gill Sans MT"/>
        </w:rPr>
        <w:t xml:space="preserve"> y otras alteraciones inmunológicas son indicativas de desnutrición proteico-energética y de mayor riesgo de infecciones, un factor crítico en pacientes encamados.</w:t>
      </w:r>
    </w:p>
    <w:p w14:paraId="4CE7A5E0" w14:textId="27EB1B05" w:rsidR="009E3C54" w:rsidRPr="009E3C54" w:rsidRDefault="009E3C54" w:rsidP="009E3C54">
      <w:pPr>
        <w:rPr>
          <w:rFonts w:ascii="Gill Sans MT" w:hAnsi="Gill Sans MT"/>
        </w:rPr>
      </w:pPr>
      <w:r w:rsidRPr="009E3C54">
        <w:rPr>
          <w:rFonts w:ascii="Gill Sans MT" w:hAnsi="Gill Sans MT"/>
        </w:rPr>
        <w:t xml:space="preserve"> Grado de mineralización ósea</w:t>
      </w:r>
    </w:p>
    <w:p w14:paraId="6DD371A4" w14:textId="77777777" w:rsidR="009E3C54" w:rsidRPr="009E3C54" w:rsidRDefault="009E3C54" w:rsidP="009E3C54">
      <w:pPr>
        <w:rPr>
          <w:rFonts w:ascii="Gill Sans MT" w:hAnsi="Gill Sans MT"/>
        </w:rPr>
      </w:pPr>
      <w:r w:rsidRPr="009E3C54">
        <w:rPr>
          <w:rFonts w:ascii="Gill Sans MT" w:hAnsi="Gill Sans MT"/>
        </w:rPr>
        <w:t>La inmovilidad conduce a pérdida de masa ósea (osteopenia u osteoporosis), aumentando el riesgo de fracturas. La densitometría ósea ayuda a valorar este riesgo y guiar la suplementación de calcio y vitamina D.</w:t>
      </w:r>
    </w:p>
    <w:p w14:paraId="63BB96AA" w14:textId="27EEC55A" w:rsidR="009E3C54" w:rsidRPr="009E3C54" w:rsidRDefault="009E3C54" w:rsidP="009E3C54">
      <w:pPr>
        <w:rPr>
          <w:rFonts w:ascii="Gill Sans MT" w:hAnsi="Gill Sans MT"/>
        </w:rPr>
      </w:pPr>
      <w:r w:rsidRPr="009E3C54">
        <w:rPr>
          <w:rFonts w:ascii="Gill Sans MT" w:hAnsi="Gill Sans MT"/>
        </w:rPr>
        <w:t xml:space="preserve"> Pruebas funcionales</w:t>
      </w:r>
    </w:p>
    <w:p w14:paraId="2E8FDBCA" w14:textId="77777777" w:rsidR="009E3C54" w:rsidRPr="009E3C54" w:rsidRDefault="009E3C54" w:rsidP="009E3C54">
      <w:pPr>
        <w:rPr>
          <w:rFonts w:ascii="Gill Sans MT" w:hAnsi="Gill Sans MT"/>
        </w:rPr>
      </w:pPr>
      <w:r w:rsidRPr="009E3C54">
        <w:rPr>
          <w:rFonts w:ascii="Gill Sans MT" w:hAnsi="Gill Sans MT"/>
        </w:rPr>
        <w:t>Pruebas como la fuerza de prensión manual permiten medir la capacidad funcional y, por tanto, el impacto de la desnutrición sobre la independencia del paciente.</w:t>
      </w:r>
    </w:p>
    <w:p w14:paraId="5FEF9AAA" w14:textId="329978FC" w:rsidR="009E3C54" w:rsidRPr="009E3C54" w:rsidRDefault="009E3C54" w:rsidP="009E3C54">
      <w:pPr>
        <w:rPr>
          <w:rFonts w:ascii="Gill Sans MT" w:hAnsi="Gill Sans MT"/>
        </w:rPr>
      </w:pPr>
      <w:r w:rsidRPr="009E3C54">
        <w:rPr>
          <w:rFonts w:ascii="Gill Sans MT" w:hAnsi="Gill Sans MT"/>
        </w:rPr>
        <w:t xml:space="preserve"> Valoración nutricional en pacientes con edema</w:t>
      </w:r>
    </w:p>
    <w:p w14:paraId="060D5423" w14:textId="77777777" w:rsidR="009E3C54" w:rsidRPr="009E3C54" w:rsidRDefault="009E3C54" w:rsidP="009E3C54">
      <w:pPr>
        <w:rPr>
          <w:rFonts w:ascii="Gill Sans MT" w:hAnsi="Gill Sans MT"/>
        </w:rPr>
      </w:pPr>
      <w:r w:rsidRPr="009E3C54">
        <w:rPr>
          <w:rFonts w:ascii="Gill Sans MT" w:hAnsi="Gill Sans MT"/>
        </w:rPr>
        <w:t>El edema puede enmascarar la pérdida de peso, lo que dificulta la valoración. En estos casos, se debe complementar con otras técnicas y valorar el estado de hidratación y proteínas plasmáticas.</w:t>
      </w:r>
    </w:p>
    <w:p w14:paraId="4861772A" w14:textId="5C7B2015" w:rsidR="009E3C54" w:rsidRPr="009E3C54" w:rsidRDefault="009E3C54" w:rsidP="009E3C54">
      <w:pPr>
        <w:rPr>
          <w:rFonts w:ascii="Gill Sans MT" w:hAnsi="Gill Sans MT"/>
        </w:rPr>
      </w:pPr>
      <w:r w:rsidRPr="009E3C54">
        <w:rPr>
          <w:rFonts w:ascii="Gill Sans MT" w:hAnsi="Gill Sans MT"/>
        </w:rPr>
        <w:t xml:space="preserve"> Ascitis</w:t>
      </w:r>
    </w:p>
    <w:p w14:paraId="5E2565CA" w14:textId="77777777" w:rsidR="009E3C54" w:rsidRPr="009E3C54" w:rsidRDefault="009E3C54" w:rsidP="009E3C54">
      <w:pPr>
        <w:rPr>
          <w:rFonts w:ascii="Gill Sans MT" w:hAnsi="Gill Sans MT"/>
        </w:rPr>
      </w:pPr>
      <w:r w:rsidRPr="009E3C54">
        <w:rPr>
          <w:rFonts w:ascii="Gill Sans MT" w:hAnsi="Gill Sans MT"/>
        </w:rPr>
        <w:t>Condición común en enfermedades hepáticas, la ascitis afecta el estado nutricional al reducir el apetito y alterar la absorción de nutrientes.</w:t>
      </w:r>
    </w:p>
    <w:p w14:paraId="5BBEE6EC" w14:textId="6BC9CC11" w:rsidR="009E3C54" w:rsidRPr="009E3C54" w:rsidRDefault="009E3C54" w:rsidP="009E3C54">
      <w:pPr>
        <w:rPr>
          <w:rFonts w:ascii="Gill Sans MT" w:hAnsi="Gill Sans MT"/>
        </w:rPr>
      </w:pPr>
      <w:r w:rsidRPr="009E3C54">
        <w:rPr>
          <w:rFonts w:ascii="Gill Sans MT" w:hAnsi="Gill Sans MT"/>
        </w:rPr>
        <w:t xml:space="preserve"> Tratamiento de la ascitis: Incluye control del sodio, diuréticos y reposición proteica.</w:t>
      </w:r>
    </w:p>
    <w:p w14:paraId="45ADE531" w14:textId="2F1A7BD9" w:rsidR="009E3C54" w:rsidRPr="009E3C54" w:rsidRDefault="009E3C54" w:rsidP="009E3C54">
      <w:pPr>
        <w:rPr>
          <w:rFonts w:ascii="Gill Sans MT" w:hAnsi="Gill Sans MT"/>
        </w:rPr>
      </w:pPr>
      <w:r w:rsidRPr="009E3C54">
        <w:rPr>
          <w:rFonts w:ascii="Gill Sans MT" w:hAnsi="Gill Sans MT"/>
        </w:rPr>
        <w:t xml:space="preserve"> Aspectos actuales: Se privilegia el manejo nutricional en conjunto con terapias farmacológicas.</w:t>
      </w:r>
    </w:p>
    <w:p w14:paraId="3B3E7380" w14:textId="23A991A9" w:rsidR="009E3C54" w:rsidRPr="009E3C54" w:rsidRDefault="009E3C54" w:rsidP="009E3C54">
      <w:pPr>
        <w:rPr>
          <w:rFonts w:ascii="Gill Sans MT" w:hAnsi="Gill Sans MT"/>
        </w:rPr>
      </w:pPr>
      <w:r w:rsidRPr="009E3C54">
        <w:rPr>
          <w:rFonts w:ascii="Gill Sans MT" w:hAnsi="Gill Sans MT"/>
        </w:rPr>
        <w:t xml:space="preserve"> Tratamiento diurético: Requiere vigilancia estrecha para evitar desnutrición o deshidratación.</w:t>
      </w:r>
    </w:p>
    <w:p w14:paraId="65E1C226" w14:textId="6E525008" w:rsidR="009E3C54" w:rsidRPr="009E3C54" w:rsidRDefault="009E3C54" w:rsidP="009E3C54">
      <w:pPr>
        <w:rPr>
          <w:rFonts w:ascii="Gill Sans MT" w:hAnsi="Gill Sans MT"/>
        </w:rPr>
      </w:pPr>
      <w:r w:rsidRPr="009E3C54">
        <w:rPr>
          <w:rFonts w:ascii="Gill Sans MT" w:hAnsi="Gill Sans MT"/>
        </w:rPr>
        <w:t xml:space="preserve"> Ascitis de gran volumen: Puede requerir paracentesis con reposición de albúmina, afectando directamente el balance nutricional.</w:t>
      </w:r>
    </w:p>
    <w:p w14:paraId="20E2250A" w14:textId="0A19A70C" w:rsidR="009E3C54" w:rsidRPr="009E3C54" w:rsidRDefault="009E3C54" w:rsidP="009E3C54">
      <w:pPr>
        <w:rPr>
          <w:rFonts w:ascii="Gill Sans MT" w:hAnsi="Gill Sans MT"/>
        </w:rPr>
      </w:pPr>
      <w:r w:rsidRPr="009E3C54">
        <w:rPr>
          <w:rFonts w:ascii="Gill Sans MT" w:hAnsi="Gill Sans MT"/>
        </w:rPr>
        <w:t>Valoración en pacientes con amputaciones</w:t>
      </w:r>
    </w:p>
    <w:p w14:paraId="1EB3C66E" w14:textId="5AA67934" w:rsidR="009E3C54" w:rsidRPr="009E3C54" w:rsidRDefault="009E3C54" w:rsidP="009E3C54">
      <w:pPr>
        <w:rPr>
          <w:rFonts w:ascii="Gill Sans MT" w:hAnsi="Gill Sans MT"/>
        </w:rPr>
      </w:pPr>
      <w:r w:rsidRPr="009E3C54">
        <w:rPr>
          <w:rFonts w:ascii="Gill Sans MT" w:hAnsi="Gill Sans MT"/>
        </w:rPr>
        <w:lastRenderedPageBreak/>
        <w:t xml:space="preserve"> Transoperatorio: La preparación nutricional es clave para evitar complicaciones y asegurar la cicatrización.</w:t>
      </w:r>
    </w:p>
    <w:p w14:paraId="71D01C9C" w14:textId="0D9DB1EA" w:rsidR="009E3C54" w:rsidRPr="009E3C54" w:rsidRDefault="009E3C54" w:rsidP="009E3C54">
      <w:pPr>
        <w:rPr>
          <w:rFonts w:ascii="Gill Sans MT" w:hAnsi="Gill Sans MT"/>
        </w:rPr>
      </w:pPr>
      <w:r w:rsidRPr="009E3C54">
        <w:rPr>
          <w:rFonts w:ascii="Gill Sans MT" w:hAnsi="Gill Sans MT"/>
        </w:rPr>
        <w:t xml:space="preserve"> Postoperatorio: Se debe ajustar el requerimiento energético y reevaluar la composición corporal, ya que el peso corporal cambia drásticamente y el metabolismo se ve alterado.</w:t>
      </w:r>
    </w:p>
    <w:p w14:paraId="57E684C8" w14:textId="77777777" w:rsidR="009E3C54" w:rsidRPr="009E3C54" w:rsidRDefault="009E3C54" w:rsidP="009E3C54">
      <w:pPr>
        <w:rPr>
          <w:rFonts w:ascii="Gill Sans MT" w:hAnsi="Gill Sans MT"/>
        </w:rPr>
      </w:pPr>
      <w:r w:rsidRPr="009E3C54">
        <w:rPr>
          <w:rFonts w:ascii="Gill Sans MT" w:hAnsi="Gill Sans MT"/>
        </w:rPr>
        <w:t>Conclusión</w:t>
      </w:r>
    </w:p>
    <w:p w14:paraId="4180CD17" w14:textId="77777777" w:rsidR="009E3C54" w:rsidRDefault="009E3C54" w:rsidP="009E3C54">
      <w:pPr>
        <w:rPr>
          <w:rFonts w:ascii="Gill Sans MT" w:hAnsi="Gill Sans MT"/>
        </w:rPr>
      </w:pPr>
      <w:r w:rsidRPr="009E3C54">
        <w:rPr>
          <w:rFonts w:ascii="Gill Sans MT" w:hAnsi="Gill Sans MT"/>
        </w:rPr>
        <w:t>La valoración nutricional de pacientes postrados debe ser abordada de forma multidimensional. No basta con medir peso y talla; es necesario integrar parámetros clínicos, bioquímicos, funcionales y estructurales para comprender el estado real del paciente. Ignorar estos aspectos puede derivar en una subestimación del riesgo nutricional, comprometiendo el tratamiento médico general. Así, una evaluación nutricional integral no es solo una herramienta diagnóstica, sino una estrategia terapéutica esencial para mejorar la supervivencia y calidad de vida de los pacientes postrados.</w:t>
      </w:r>
    </w:p>
    <w:p w14:paraId="651992EA" w14:textId="77777777" w:rsidR="009E3C54" w:rsidRDefault="009E3C54" w:rsidP="009E3C54">
      <w:pPr>
        <w:rPr>
          <w:rFonts w:ascii="Gill Sans MT" w:hAnsi="Gill Sans MT"/>
        </w:rPr>
      </w:pPr>
    </w:p>
    <w:p w14:paraId="4B8793F7" w14:textId="77777777" w:rsidR="009E3C54" w:rsidRDefault="009E3C54" w:rsidP="009E3C54">
      <w:pPr>
        <w:rPr>
          <w:rFonts w:ascii="Gill Sans MT" w:hAnsi="Gill Sans MT"/>
        </w:rPr>
      </w:pPr>
    </w:p>
    <w:p w14:paraId="74E4E843" w14:textId="77777777" w:rsidR="009E3C54" w:rsidRDefault="009E3C54" w:rsidP="009E3C54">
      <w:pPr>
        <w:rPr>
          <w:rFonts w:ascii="Gill Sans MT" w:hAnsi="Gill Sans MT"/>
        </w:rPr>
      </w:pPr>
    </w:p>
    <w:p w14:paraId="38D6E018" w14:textId="77777777" w:rsidR="009E3C54" w:rsidRDefault="009E3C54" w:rsidP="009E3C54">
      <w:pPr>
        <w:rPr>
          <w:rFonts w:ascii="Gill Sans MT" w:hAnsi="Gill Sans MT"/>
        </w:rPr>
      </w:pPr>
    </w:p>
    <w:p w14:paraId="44A1EF2F" w14:textId="77777777" w:rsidR="009E3C54" w:rsidRDefault="009E3C54" w:rsidP="009E3C54">
      <w:pPr>
        <w:rPr>
          <w:rFonts w:ascii="Gill Sans MT" w:hAnsi="Gill Sans MT"/>
        </w:rPr>
      </w:pPr>
    </w:p>
    <w:p w14:paraId="249797AD" w14:textId="77777777" w:rsidR="009E3C54" w:rsidRDefault="009E3C54" w:rsidP="009E3C54">
      <w:pPr>
        <w:rPr>
          <w:rFonts w:ascii="Gill Sans MT" w:hAnsi="Gill Sans MT"/>
        </w:rPr>
      </w:pPr>
    </w:p>
    <w:p w14:paraId="05B7AA6B" w14:textId="77777777" w:rsidR="009E3C54" w:rsidRDefault="009E3C54" w:rsidP="009E3C54">
      <w:pPr>
        <w:rPr>
          <w:rFonts w:ascii="Gill Sans MT" w:hAnsi="Gill Sans MT"/>
        </w:rPr>
      </w:pPr>
    </w:p>
    <w:p w14:paraId="24A48872" w14:textId="77777777" w:rsidR="009E3C54" w:rsidRDefault="009E3C54" w:rsidP="009E3C54">
      <w:pPr>
        <w:rPr>
          <w:rFonts w:ascii="Gill Sans MT" w:hAnsi="Gill Sans MT"/>
        </w:rPr>
      </w:pPr>
    </w:p>
    <w:p w14:paraId="186993EE" w14:textId="77777777" w:rsidR="009E3C54" w:rsidRDefault="009E3C54" w:rsidP="009E3C54">
      <w:pPr>
        <w:rPr>
          <w:rFonts w:ascii="Gill Sans MT" w:hAnsi="Gill Sans MT"/>
        </w:rPr>
      </w:pPr>
    </w:p>
    <w:p w14:paraId="764ED693" w14:textId="77777777" w:rsidR="009E3C54" w:rsidRDefault="009E3C54" w:rsidP="009E3C54">
      <w:pPr>
        <w:rPr>
          <w:rFonts w:ascii="Gill Sans MT" w:hAnsi="Gill Sans MT"/>
        </w:rPr>
      </w:pPr>
    </w:p>
    <w:p w14:paraId="6CE55061" w14:textId="77777777" w:rsidR="009E3C54" w:rsidRDefault="009E3C54" w:rsidP="009E3C54">
      <w:pPr>
        <w:rPr>
          <w:rFonts w:ascii="Gill Sans MT" w:hAnsi="Gill Sans MT"/>
        </w:rPr>
      </w:pPr>
    </w:p>
    <w:p w14:paraId="04824D65" w14:textId="77777777" w:rsidR="009E3C54" w:rsidRDefault="009E3C54" w:rsidP="009E3C54">
      <w:pPr>
        <w:rPr>
          <w:rFonts w:ascii="Gill Sans MT" w:hAnsi="Gill Sans MT"/>
        </w:rPr>
      </w:pPr>
    </w:p>
    <w:p w14:paraId="44132DB3" w14:textId="77777777" w:rsidR="009E3C54" w:rsidRDefault="009E3C54" w:rsidP="009E3C54">
      <w:pPr>
        <w:rPr>
          <w:rFonts w:ascii="Gill Sans MT" w:hAnsi="Gill Sans MT"/>
        </w:rPr>
      </w:pPr>
    </w:p>
    <w:p w14:paraId="0CE22ABE" w14:textId="77777777" w:rsidR="009E3C54" w:rsidRDefault="009E3C54" w:rsidP="009E3C54">
      <w:pPr>
        <w:rPr>
          <w:rFonts w:ascii="Gill Sans MT" w:hAnsi="Gill Sans MT"/>
        </w:rPr>
      </w:pPr>
    </w:p>
    <w:p w14:paraId="039F05C0" w14:textId="77777777" w:rsidR="009E3C54" w:rsidRDefault="009E3C54" w:rsidP="009E3C54">
      <w:pPr>
        <w:rPr>
          <w:rFonts w:ascii="Gill Sans MT" w:hAnsi="Gill Sans MT"/>
        </w:rPr>
      </w:pPr>
    </w:p>
    <w:p w14:paraId="1CA52DDB" w14:textId="77777777" w:rsidR="009E3C54" w:rsidRDefault="009E3C54" w:rsidP="009E3C54">
      <w:pPr>
        <w:rPr>
          <w:rFonts w:ascii="Gill Sans MT" w:hAnsi="Gill Sans MT"/>
        </w:rPr>
      </w:pPr>
    </w:p>
    <w:p w14:paraId="3F19729F" w14:textId="77777777" w:rsidR="009E3C54" w:rsidRDefault="009E3C54" w:rsidP="009E3C54">
      <w:pPr>
        <w:rPr>
          <w:rFonts w:ascii="Gill Sans MT" w:hAnsi="Gill Sans MT"/>
        </w:rPr>
      </w:pPr>
    </w:p>
    <w:p w14:paraId="5DD0B98D" w14:textId="77777777" w:rsidR="009E3C54" w:rsidRDefault="009E3C54" w:rsidP="009E3C54">
      <w:pPr>
        <w:rPr>
          <w:rFonts w:ascii="Gill Sans MT" w:hAnsi="Gill Sans MT"/>
        </w:rPr>
      </w:pPr>
    </w:p>
    <w:p w14:paraId="4D476325" w14:textId="48FEFA9C" w:rsidR="009E3C54" w:rsidRDefault="009E3C54" w:rsidP="009E3C54">
      <w:pPr>
        <w:rPr>
          <w:rFonts w:ascii="Gill Sans MT" w:hAnsi="Gill Sans MT"/>
        </w:rPr>
      </w:pPr>
      <w:proofErr w:type="spellStart"/>
      <w:r>
        <w:rPr>
          <w:rFonts w:ascii="Gill Sans MT" w:hAnsi="Gill Sans MT"/>
        </w:rPr>
        <w:lastRenderedPageBreak/>
        <w:t>Bibliografa</w:t>
      </w:r>
      <w:proofErr w:type="spellEnd"/>
      <w:r>
        <w:rPr>
          <w:rFonts w:ascii="Gill Sans MT" w:hAnsi="Gill Sans MT"/>
        </w:rPr>
        <w:t>:</w:t>
      </w:r>
    </w:p>
    <w:p w14:paraId="7957C8A5" w14:textId="1D0AC823" w:rsidR="009E3C54" w:rsidRPr="009E3C54" w:rsidRDefault="009E3C54" w:rsidP="009E3C54">
      <w:pPr>
        <w:rPr>
          <w:rFonts w:ascii="Gill Sans MT" w:hAnsi="Gill Sans MT"/>
        </w:rPr>
      </w:pPr>
      <w:r w:rsidRPr="009E3C54">
        <w:rPr>
          <w:rFonts w:ascii="Gill Sans MT" w:hAnsi="Gill Sans MT"/>
        </w:rPr>
        <w:t xml:space="preserve">González-Medina, A. R., &amp; Martínez, J. G. (2019). </w:t>
      </w:r>
      <w:r w:rsidRPr="009E3C54">
        <w:rPr>
          <w:rFonts w:ascii="Gill Sans MT" w:hAnsi="Gill Sans MT"/>
          <w:i/>
          <w:iCs/>
        </w:rPr>
        <w:t>Valoración nutricional del paciente hospitalizado</w:t>
      </w:r>
      <w:r w:rsidRPr="009E3C54">
        <w:rPr>
          <w:rFonts w:ascii="Gill Sans MT" w:hAnsi="Gill Sans MT"/>
        </w:rPr>
        <w:t>. Revista de Nutrición Clínica y Metabolismo, 2(1), 27–34.</w:t>
      </w:r>
    </w:p>
    <w:p w14:paraId="37B94BE4" w14:textId="13C62A58" w:rsidR="009E3C54" w:rsidRPr="009E3C54" w:rsidRDefault="009E3C54" w:rsidP="009E3C54">
      <w:pPr>
        <w:rPr>
          <w:rFonts w:ascii="Gill Sans MT" w:hAnsi="Gill Sans MT"/>
        </w:rPr>
      </w:pPr>
      <w:r w:rsidRPr="009E3C54">
        <w:rPr>
          <w:rFonts w:ascii="Gill Sans MT" w:hAnsi="Gill Sans MT"/>
        </w:rPr>
        <w:t xml:space="preserve"> Mahan, L. K., &amp; Raymond, J. L. (2020). </w:t>
      </w:r>
      <w:r w:rsidRPr="009E3C54">
        <w:rPr>
          <w:rFonts w:ascii="Gill Sans MT" w:hAnsi="Gill Sans MT"/>
          <w:i/>
          <w:iCs/>
        </w:rPr>
        <w:t xml:space="preserve">Krause, </w:t>
      </w:r>
      <w:proofErr w:type="spellStart"/>
      <w:r w:rsidRPr="009E3C54">
        <w:rPr>
          <w:rFonts w:ascii="Gill Sans MT" w:hAnsi="Gill Sans MT"/>
          <w:i/>
          <w:iCs/>
        </w:rPr>
        <w:t>dietoterapia</w:t>
      </w:r>
      <w:proofErr w:type="spellEnd"/>
      <w:r w:rsidRPr="009E3C54">
        <w:rPr>
          <w:rFonts w:ascii="Gill Sans MT" w:hAnsi="Gill Sans MT"/>
        </w:rPr>
        <w:t xml:space="preserve">. Elsevier </w:t>
      </w:r>
      <w:proofErr w:type="spellStart"/>
      <w:r w:rsidRPr="009E3C54">
        <w:rPr>
          <w:rFonts w:ascii="Gill Sans MT" w:hAnsi="Gill Sans MT"/>
        </w:rPr>
        <w:t>Health</w:t>
      </w:r>
      <w:proofErr w:type="spellEnd"/>
      <w:r w:rsidRPr="009E3C54">
        <w:rPr>
          <w:rFonts w:ascii="Gill Sans MT" w:hAnsi="Gill Sans MT"/>
        </w:rPr>
        <w:t xml:space="preserve"> </w:t>
      </w:r>
      <w:proofErr w:type="spellStart"/>
      <w:r w:rsidRPr="009E3C54">
        <w:rPr>
          <w:rFonts w:ascii="Gill Sans MT" w:hAnsi="Gill Sans MT"/>
        </w:rPr>
        <w:t>Sciences</w:t>
      </w:r>
      <w:proofErr w:type="spellEnd"/>
      <w:r w:rsidRPr="009E3C54">
        <w:rPr>
          <w:rFonts w:ascii="Gill Sans MT" w:hAnsi="Gill Sans MT"/>
        </w:rPr>
        <w:t>.</w:t>
      </w:r>
    </w:p>
    <w:p w14:paraId="5AA13DAC" w14:textId="639411AC" w:rsidR="009E3C54" w:rsidRPr="009E3C54" w:rsidRDefault="009E3C54" w:rsidP="009E3C54">
      <w:pPr>
        <w:rPr>
          <w:rFonts w:ascii="Gill Sans MT" w:hAnsi="Gill Sans MT"/>
        </w:rPr>
      </w:pPr>
      <w:proofErr w:type="spellStart"/>
      <w:r w:rsidRPr="009E3C54">
        <w:rPr>
          <w:rFonts w:ascii="Gill Sans MT" w:hAnsi="Gill Sans MT"/>
        </w:rPr>
        <w:t>Kondrup</w:t>
      </w:r>
      <w:proofErr w:type="spellEnd"/>
      <w:r w:rsidRPr="009E3C54">
        <w:rPr>
          <w:rFonts w:ascii="Gill Sans MT" w:hAnsi="Gill Sans MT"/>
        </w:rPr>
        <w:t xml:space="preserve">, J., Allison, S. P., Elia, M., </w:t>
      </w:r>
      <w:proofErr w:type="spellStart"/>
      <w:r w:rsidRPr="009E3C54">
        <w:rPr>
          <w:rFonts w:ascii="Gill Sans MT" w:hAnsi="Gill Sans MT"/>
        </w:rPr>
        <w:t>Vellas</w:t>
      </w:r>
      <w:proofErr w:type="spellEnd"/>
      <w:r w:rsidRPr="009E3C54">
        <w:rPr>
          <w:rFonts w:ascii="Gill Sans MT" w:hAnsi="Gill Sans MT"/>
        </w:rPr>
        <w:t xml:space="preserve">, B., &amp; </w:t>
      </w:r>
      <w:proofErr w:type="spellStart"/>
      <w:r w:rsidRPr="009E3C54">
        <w:rPr>
          <w:rFonts w:ascii="Gill Sans MT" w:hAnsi="Gill Sans MT"/>
        </w:rPr>
        <w:t>Plauth</w:t>
      </w:r>
      <w:proofErr w:type="spellEnd"/>
      <w:r w:rsidRPr="009E3C54">
        <w:rPr>
          <w:rFonts w:ascii="Gill Sans MT" w:hAnsi="Gill Sans MT"/>
        </w:rPr>
        <w:t xml:space="preserve">, M. (2003). ESPEN </w:t>
      </w:r>
      <w:proofErr w:type="spellStart"/>
      <w:r w:rsidRPr="009E3C54">
        <w:rPr>
          <w:rFonts w:ascii="Gill Sans MT" w:hAnsi="Gill Sans MT"/>
        </w:rPr>
        <w:t>guidelines</w:t>
      </w:r>
      <w:proofErr w:type="spellEnd"/>
      <w:r w:rsidRPr="009E3C54">
        <w:rPr>
          <w:rFonts w:ascii="Gill Sans MT" w:hAnsi="Gill Sans MT"/>
        </w:rPr>
        <w:t xml:space="preserve"> </w:t>
      </w:r>
      <w:proofErr w:type="spellStart"/>
      <w:r w:rsidRPr="009E3C54">
        <w:rPr>
          <w:rFonts w:ascii="Gill Sans MT" w:hAnsi="Gill Sans MT"/>
        </w:rPr>
        <w:t>for</w:t>
      </w:r>
      <w:proofErr w:type="spellEnd"/>
      <w:r w:rsidRPr="009E3C54">
        <w:rPr>
          <w:rFonts w:ascii="Gill Sans MT" w:hAnsi="Gill Sans MT"/>
        </w:rPr>
        <w:t xml:space="preserve"> </w:t>
      </w:r>
      <w:proofErr w:type="spellStart"/>
      <w:r w:rsidRPr="009E3C54">
        <w:rPr>
          <w:rFonts w:ascii="Gill Sans MT" w:hAnsi="Gill Sans MT"/>
        </w:rPr>
        <w:t>nutrition</w:t>
      </w:r>
      <w:proofErr w:type="spellEnd"/>
      <w:r w:rsidRPr="009E3C54">
        <w:rPr>
          <w:rFonts w:ascii="Gill Sans MT" w:hAnsi="Gill Sans MT"/>
        </w:rPr>
        <w:t xml:space="preserve"> screening 2002. </w:t>
      </w:r>
      <w:proofErr w:type="spellStart"/>
      <w:r w:rsidRPr="009E3C54">
        <w:rPr>
          <w:rFonts w:ascii="Gill Sans MT" w:hAnsi="Gill Sans MT"/>
          <w:i/>
          <w:iCs/>
        </w:rPr>
        <w:t>Clinical</w:t>
      </w:r>
      <w:proofErr w:type="spellEnd"/>
      <w:r w:rsidRPr="009E3C54">
        <w:rPr>
          <w:rFonts w:ascii="Gill Sans MT" w:hAnsi="Gill Sans MT"/>
          <w:i/>
          <w:iCs/>
        </w:rPr>
        <w:t xml:space="preserve"> </w:t>
      </w:r>
      <w:proofErr w:type="spellStart"/>
      <w:r w:rsidRPr="009E3C54">
        <w:rPr>
          <w:rFonts w:ascii="Gill Sans MT" w:hAnsi="Gill Sans MT"/>
          <w:i/>
          <w:iCs/>
        </w:rPr>
        <w:t>Nutrition</w:t>
      </w:r>
      <w:proofErr w:type="spellEnd"/>
      <w:r w:rsidRPr="009E3C54">
        <w:rPr>
          <w:rFonts w:ascii="Gill Sans MT" w:hAnsi="Gill Sans MT"/>
        </w:rPr>
        <w:t>, 22(4), 415–421. https://doi.org/10.1016/S0261-5614(03)00098-0</w:t>
      </w:r>
    </w:p>
    <w:p w14:paraId="76C7D323" w14:textId="356F8C4E" w:rsidR="009E3C54" w:rsidRPr="009E3C54" w:rsidRDefault="009E3C54" w:rsidP="009E3C54">
      <w:pPr>
        <w:rPr>
          <w:rFonts w:ascii="Gill Sans MT" w:hAnsi="Gill Sans MT"/>
        </w:rPr>
      </w:pPr>
      <w:proofErr w:type="spellStart"/>
      <w:r w:rsidRPr="009E3C54">
        <w:rPr>
          <w:rFonts w:ascii="Gill Sans MT" w:hAnsi="Gill Sans MT"/>
        </w:rPr>
        <w:t>Cederholm</w:t>
      </w:r>
      <w:proofErr w:type="spellEnd"/>
      <w:r w:rsidRPr="009E3C54">
        <w:rPr>
          <w:rFonts w:ascii="Gill Sans MT" w:hAnsi="Gill Sans MT"/>
        </w:rPr>
        <w:t xml:space="preserve">, T., Jensen, G. L., Correia, M. I. T. D., </w:t>
      </w:r>
      <w:proofErr w:type="spellStart"/>
      <w:r w:rsidRPr="009E3C54">
        <w:rPr>
          <w:rFonts w:ascii="Gill Sans MT" w:hAnsi="Gill Sans MT"/>
        </w:rPr>
        <w:t>Gonzalez</w:t>
      </w:r>
      <w:proofErr w:type="spellEnd"/>
      <w:r w:rsidRPr="009E3C54">
        <w:rPr>
          <w:rFonts w:ascii="Gill Sans MT" w:hAnsi="Gill Sans MT"/>
        </w:rPr>
        <w:t xml:space="preserve">, M. C., Fukushima, R., </w:t>
      </w:r>
      <w:proofErr w:type="spellStart"/>
      <w:r w:rsidRPr="009E3C54">
        <w:rPr>
          <w:rFonts w:ascii="Gill Sans MT" w:hAnsi="Gill Sans MT"/>
        </w:rPr>
        <w:t>Higashiguchi</w:t>
      </w:r>
      <w:proofErr w:type="spellEnd"/>
      <w:r w:rsidRPr="009E3C54">
        <w:rPr>
          <w:rFonts w:ascii="Gill Sans MT" w:hAnsi="Gill Sans MT"/>
        </w:rPr>
        <w:t xml:space="preserve">, T., ... &amp; </w:t>
      </w:r>
      <w:proofErr w:type="spellStart"/>
      <w:r w:rsidRPr="009E3C54">
        <w:rPr>
          <w:rFonts w:ascii="Gill Sans MT" w:hAnsi="Gill Sans MT"/>
        </w:rPr>
        <w:t>Compher</w:t>
      </w:r>
      <w:proofErr w:type="spellEnd"/>
      <w:r w:rsidRPr="009E3C54">
        <w:rPr>
          <w:rFonts w:ascii="Gill Sans MT" w:hAnsi="Gill Sans MT"/>
        </w:rPr>
        <w:t xml:space="preserve">, C. (2019). GLIM </w:t>
      </w:r>
      <w:proofErr w:type="spellStart"/>
      <w:r w:rsidRPr="009E3C54">
        <w:rPr>
          <w:rFonts w:ascii="Gill Sans MT" w:hAnsi="Gill Sans MT"/>
        </w:rPr>
        <w:t>criteria</w:t>
      </w:r>
      <w:proofErr w:type="spellEnd"/>
      <w:r w:rsidRPr="009E3C54">
        <w:rPr>
          <w:rFonts w:ascii="Gill Sans MT" w:hAnsi="Gill Sans MT"/>
        </w:rPr>
        <w:t xml:space="preserve"> </w:t>
      </w:r>
      <w:proofErr w:type="spellStart"/>
      <w:r w:rsidRPr="009E3C54">
        <w:rPr>
          <w:rFonts w:ascii="Gill Sans MT" w:hAnsi="Gill Sans MT"/>
        </w:rPr>
        <w:t>for</w:t>
      </w:r>
      <w:proofErr w:type="spellEnd"/>
      <w:r w:rsidRPr="009E3C54">
        <w:rPr>
          <w:rFonts w:ascii="Gill Sans MT" w:hAnsi="Gill Sans MT"/>
        </w:rPr>
        <w:t xml:space="preserve"> </w:t>
      </w:r>
      <w:proofErr w:type="spellStart"/>
      <w:r w:rsidRPr="009E3C54">
        <w:rPr>
          <w:rFonts w:ascii="Gill Sans MT" w:hAnsi="Gill Sans MT"/>
        </w:rPr>
        <w:t>the</w:t>
      </w:r>
      <w:proofErr w:type="spellEnd"/>
      <w:r w:rsidRPr="009E3C54">
        <w:rPr>
          <w:rFonts w:ascii="Gill Sans MT" w:hAnsi="Gill Sans MT"/>
        </w:rPr>
        <w:t xml:space="preserve"> diagnosis </w:t>
      </w:r>
      <w:proofErr w:type="spellStart"/>
      <w:r w:rsidRPr="009E3C54">
        <w:rPr>
          <w:rFonts w:ascii="Gill Sans MT" w:hAnsi="Gill Sans MT"/>
        </w:rPr>
        <w:t>of</w:t>
      </w:r>
      <w:proofErr w:type="spellEnd"/>
      <w:r w:rsidRPr="009E3C54">
        <w:rPr>
          <w:rFonts w:ascii="Gill Sans MT" w:hAnsi="Gill Sans MT"/>
        </w:rPr>
        <w:t xml:space="preserve"> </w:t>
      </w:r>
      <w:proofErr w:type="spellStart"/>
      <w:r w:rsidRPr="009E3C54">
        <w:rPr>
          <w:rFonts w:ascii="Gill Sans MT" w:hAnsi="Gill Sans MT"/>
        </w:rPr>
        <w:t>malnutrition</w:t>
      </w:r>
      <w:proofErr w:type="spellEnd"/>
      <w:r w:rsidRPr="009E3C54">
        <w:rPr>
          <w:rFonts w:ascii="Gill Sans MT" w:hAnsi="Gill Sans MT"/>
        </w:rPr>
        <w:t xml:space="preserve"> – A </w:t>
      </w:r>
      <w:proofErr w:type="spellStart"/>
      <w:r w:rsidRPr="009E3C54">
        <w:rPr>
          <w:rFonts w:ascii="Gill Sans MT" w:hAnsi="Gill Sans MT"/>
        </w:rPr>
        <w:t>consensus</w:t>
      </w:r>
      <w:proofErr w:type="spellEnd"/>
      <w:r w:rsidRPr="009E3C54">
        <w:rPr>
          <w:rFonts w:ascii="Gill Sans MT" w:hAnsi="Gill Sans MT"/>
        </w:rPr>
        <w:t xml:space="preserve"> </w:t>
      </w:r>
      <w:proofErr w:type="spellStart"/>
      <w:r w:rsidRPr="009E3C54">
        <w:rPr>
          <w:rFonts w:ascii="Gill Sans MT" w:hAnsi="Gill Sans MT"/>
        </w:rPr>
        <w:t>report</w:t>
      </w:r>
      <w:proofErr w:type="spellEnd"/>
      <w:r w:rsidRPr="009E3C54">
        <w:rPr>
          <w:rFonts w:ascii="Gill Sans MT" w:hAnsi="Gill Sans MT"/>
        </w:rPr>
        <w:t xml:space="preserve"> </w:t>
      </w:r>
      <w:proofErr w:type="spellStart"/>
      <w:r w:rsidRPr="009E3C54">
        <w:rPr>
          <w:rFonts w:ascii="Gill Sans MT" w:hAnsi="Gill Sans MT"/>
        </w:rPr>
        <w:t>from</w:t>
      </w:r>
      <w:proofErr w:type="spellEnd"/>
      <w:r w:rsidRPr="009E3C54">
        <w:rPr>
          <w:rFonts w:ascii="Gill Sans MT" w:hAnsi="Gill Sans MT"/>
        </w:rPr>
        <w:t xml:space="preserve"> </w:t>
      </w:r>
      <w:proofErr w:type="spellStart"/>
      <w:r w:rsidRPr="009E3C54">
        <w:rPr>
          <w:rFonts w:ascii="Gill Sans MT" w:hAnsi="Gill Sans MT"/>
        </w:rPr>
        <w:t>the</w:t>
      </w:r>
      <w:proofErr w:type="spellEnd"/>
      <w:r w:rsidRPr="009E3C54">
        <w:rPr>
          <w:rFonts w:ascii="Gill Sans MT" w:hAnsi="Gill Sans MT"/>
        </w:rPr>
        <w:t xml:space="preserve"> global </w:t>
      </w:r>
      <w:proofErr w:type="spellStart"/>
      <w:r w:rsidRPr="009E3C54">
        <w:rPr>
          <w:rFonts w:ascii="Gill Sans MT" w:hAnsi="Gill Sans MT"/>
        </w:rPr>
        <w:t>clinical</w:t>
      </w:r>
      <w:proofErr w:type="spellEnd"/>
      <w:r w:rsidRPr="009E3C54">
        <w:rPr>
          <w:rFonts w:ascii="Gill Sans MT" w:hAnsi="Gill Sans MT"/>
        </w:rPr>
        <w:t xml:space="preserve"> </w:t>
      </w:r>
      <w:proofErr w:type="spellStart"/>
      <w:r w:rsidRPr="009E3C54">
        <w:rPr>
          <w:rFonts w:ascii="Gill Sans MT" w:hAnsi="Gill Sans MT"/>
        </w:rPr>
        <w:t>nutrition</w:t>
      </w:r>
      <w:proofErr w:type="spellEnd"/>
      <w:r w:rsidRPr="009E3C54">
        <w:rPr>
          <w:rFonts w:ascii="Gill Sans MT" w:hAnsi="Gill Sans MT"/>
        </w:rPr>
        <w:t xml:space="preserve"> </w:t>
      </w:r>
      <w:proofErr w:type="spellStart"/>
      <w:r w:rsidRPr="009E3C54">
        <w:rPr>
          <w:rFonts w:ascii="Gill Sans MT" w:hAnsi="Gill Sans MT"/>
        </w:rPr>
        <w:t>community</w:t>
      </w:r>
      <w:proofErr w:type="spellEnd"/>
      <w:r w:rsidRPr="009E3C54">
        <w:rPr>
          <w:rFonts w:ascii="Gill Sans MT" w:hAnsi="Gill Sans MT"/>
        </w:rPr>
        <w:t xml:space="preserve">. </w:t>
      </w:r>
      <w:proofErr w:type="spellStart"/>
      <w:r w:rsidRPr="009E3C54">
        <w:rPr>
          <w:rFonts w:ascii="Gill Sans MT" w:hAnsi="Gill Sans MT"/>
          <w:i/>
          <w:iCs/>
        </w:rPr>
        <w:t>Clinical</w:t>
      </w:r>
      <w:proofErr w:type="spellEnd"/>
      <w:r w:rsidRPr="009E3C54">
        <w:rPr>
          <w:rFonts w:ascii="Gill Sans MT" w:hAnsi="Gill Sans MT"/>
          <w:i/>
          <w:iCs/>
        </w:rPr>
        <w:t xml:space="preserve"> </w:t>
      </w:r>
      <w:proofErr w:type="spellStart"/>
      <w:r w:rsidRPr="009E3C54">
        <w:rPr>
          <w:rFonts w:ascii="Gill Sans MT" w:hAnsi="Gill Sans MT"/>
          <w:i/>
          <w:iCs/>
        </w:rPr>
        <w:t>Nutrition</w:t>
      </w:r>
      <w:proofErr w:type="spellEnd"/>
      <w:r w:rsidRPr="009E3C54">
        <w:rPr>
          <w:rFonts w:ascii="Gill Sans MT" w:hAnsi="Gill Sans MT"/>
        </w:rPr>
        <w:t>, 38(1), 1–9. https://doi.org/10.1016/j.clnu.2018.08.002</w:t>
      </w:r>
    </w:p>
    <w:p w14:paraId="6AFBD5E1" w14:textId="56B328D3" w:rsidR="009E3C54" w:rsidRPr="009E3C54" w:rsidRDefault="009E3C54" w:rsidP="009E3C54">
      <w:pPr>
        <w:rPr>
          <w:rFonts w:ascii="Gill Sans MT" w:hAnsi="Gill Sans MT"/>
        </w:rPr>
      </w:pPr>
      <w:r w:rsidRPr="009E3C54">
        <w:rPr>
          <w:rFonts w:ascii="Gill Sans MT" w:hAnsi="Gill Sans MT"/>
        </w:rPr>
        <w:t xml:space="preserve"> Sociedad Española de Nutrición Parenteral y Enteral (SENPE). (2021). </w:t>
      </w:r>
      <w:r w:rsidRPr="009E3C54">
        <w:rPr>
          <w:rFonts w:ascii="Gill Sans MT" w:hAnsi="Gill Sans MT"/>
          <w:i/>
          <w:iCs/>
        </w:rPr>
        <w:t>Guía de práctica clínica para la valoración y tratamiento nutricional del paciente hospitalizado</w:t>
      </w:r>
      <w:r w:rsidRPr="009E3C54">
        <w:rPr>
          <w:rFonts w:ascii="Gill Sans MT" w:hAnsi="Gill Sans MT"/>
        </w:rPr>
        <w:t xml:space="preserve">. </w:t>
      </w:r>
      <w:hyperlink r:id="rId6" w:tgtFrame="_new" w:history="1">
        <w:r w:rsidRPr="009E3C54">
          <w:rPr>
            <w:rStyle w:val="Hipervnculo"/>
            <w:rFonts w:ascii="Gill Sans MT" w:hAnsi="Gill Sans MT"/>
          </w:rPr>
          <w:t>https://www.senpe.com/</w:t>
        </w:r>
      </w:hyperlink>
    </w:p>
    <w:p w14:paraId="5A4915CB" w14:textId="466BAF5D" w:rsidR="009E3C54" w:rsidRPr="009E3C54" w:rsidRDefault="009E3C54" w:rsidP="009E3C54">
      <w:pPr>
        <w:rPr>
          <w:rFonts w:ascii="Gill Sans MT" w:hAnsi="Gill Sans MT"/>
        </w:rPr>
      </w:pPr>
      <w:r w:rsidRPr="009E3C54">
        <w:rPr>
          <w:rFonts w:ascii="Gill Sans MT" w:hAnsi="Gill Sans MT"/>
        </w:rPr>
        <w:t xml:space="preserve"> Organización Mundial de la Salud (OMS). (2021). </w:t>
      </w:r>
      <w:r w:rsidRPr="009E3C54">
        <w:rPr>
          <w:rFonts w:ascii="Gill Sans MT" w:hAnsi="Gill Sans MT"/>
          <w:i/>
          <w:iCs/>
        </w:rPr>
        <w:t>Desnutrición: Información general</w:t>
      </w:r>
      <w:r w:rsidRPr="009E3C54">
        <w:rPr>
          <w:rFonts w:ascii="Gill Sans MT" w:hAnsi="Gill Sans MT"/>
        </w:rPr>
        <w:t xml:space="preserve">. </w:t>
      </w:r>
      <w:hyperlink r:id="rId7" w:tgtFrame="_new" w:history="1">
        <w:r w:rsidRPr="009E3C54">
          <w:rPr>
            <w:rStyle w:val="Hipervnculo"/>
            <w:rFonts w:ascii="Gill Sans MT" w:hAnsi="Gill Sans MT"/>
          </w:rPr>
          <w:t>https://www.who.int/es/news-room/fact-sheets/detail/malnutrition</w:t>
        </w:r>
      </w:hyperlink>
    </w:p>
    <w:p w14:paraId="40D5ECBB" w14:textId="498F16A2" w:rsidR="009E3C54" w:rsidRPr="009E3C54" w:rsidRDefault="009E3C54" w:rsidP="009E3C54">
      <w:pPr>
        <w:rPr>
          <w:rFonts w:ascii="Gill Sans MT" w:hAnsi="Gill Sans MT"/>
        </w:rPr>
      </w:pPr>
      <w:r w:rsidRPr="009E3C54">
        <w:rPr>
          <w:rFonts w:ascii="Gill Sans MT" w:hAnsi="Gill Sans MT"/>
        </w:rPr>
        <w:t xml:space="preserve"> Frisancho, A. R. (2008). </w:t>
      </w:r>
      <w:proofErr w:type="spellStart"/>
      <w:r w:rsidRPr="009E3C54">
        <w:rPr>
          <w:rFonts w:ascii="Gill Sans MT" w:hAnsi="Gill Sans MT"/>
          <w:i/>
          <w:iCs/>
        </w:rPr>
        <w:t>Anthropometric</w:t>
      </w:r>
      <w:proofErr w:type="spellEnd"/>
      <w:r w:rsidRPr="009E3C54">
        <w:rPr>
          <w:rFonts w:ascii="Gill Sans MT" w:hAnsi="Gill Sans MT"/>
          <w:i/>
          <w:iCs/>
        </w:rPr>
        <w:t xml:space="preserve"> </w:t>
      </w:r>
      <w:proofErr w:type="spellStart"/>
      <w:r w:rsidRPr="009E3C54">
        <w:rPr>
          <w:rFonts w:ascii="Gill Sans MT" w:hAnsi="Gill Sans MT"/>
          <w:i/>
          <w:iCs/>
        </w:rPr>
        <w:t>Standards</w:t>
      </w:r>
      <w:proofErr w:type="spellEnd"/>
      <w:r w:rsidRPr="009E3C54">
        <w:rPr>
          <w:rFonts w:ascii="Gill Sans MT" w:hAnsi="Gill Sans MT"/>
          <w:i/>
          <w:iCs/>
        </w:rPr>
        <w:t xml:space="preserve">: </w:t>
      </w:r>
      <w:proofErr w:type="spellStart"/>
      <w:r w:rsidRPr="009E3C54">
        <w:rPr>
          <w:rFonts w:ascii="Gill Sans MT" w:hAnsi="Gill Sans MT"/>
          <w:i/>
          <w:iCs/>
        </w:rPr>
        <w:t>An</w:t>
      </w:r>
      <w:proofErr w:type="spellEnd"/>
      <w:r w:rsidRPr="009E3C54">
        <w:rPr>
          <w:rFonts w:ascii="Gill Sans MT" w:hAnsi="Gill Sans MT"/>
          <w:i/>
          <w:iCs/>
        </w:rPr>
        <w:t xml:space="preserve"> Interactive </w:t>
      </w:r>
      <w:proofErr w:type="spellStart"/>
      <w:r w:rsidRPr="009E3C54">
        <w:rPr>
          <w:rFonts w:ascii="Gill Sans MT" w:hAnsi="Gill Sans MT"/>
          <w:i/>
          <w:iCs/>
        </w:rPr>
        <w:t>Nutritional</w:t>
      </w:r>
      <w:proofErr w:type="spellEnd"/>
      <w:r w:rsidRPr="009E3C54">
        <w:rPr>
          <w:rFonts w:ascii="Gill Sans MT" w:hAnsi="Gill Sans MT"/>
          <w:i/>
          <w:iCs/>
        </w:rPr>
        <w:t xml:space="preserve"> Reference </w:t>
      </w:r>
      <w:proofErr w:type="spellStart"/>
      <w:r w:rsidRPr="009E3C54">
        <w:rPr>
          <w:rFonts w:ascii="Gill Sans MT" w:hAnsi="Gill Sans MT"/>
          <w:i/>
          <w:iCs/>
        </w:rPr>
        <w:t>of</w:t>
      </w:r>
      <w:proofErr w:type="spellEnd"/>
      <w:r w:rsidRPr="009E3C54">
        <w:rPr>
          <w:rFonts w:ascii="Gill Sans MT" w:hAnsi="Gill Sans MT"/>
          <w:i/>
          <w:iCs/>
        </w:rPr>
        <w:t xml:space="preserve"> </w:t>
      </w:r>
      <w:proofErr w:type="spellStart"/>
      <w:r w:rsidRPr="009E3C54">
        <w:rPr>
          <w:rFonts w:ascii="Gill Sans MT" w:hAnsi="Gill Sans MT"/>
          <w:i/>
          <w:iCs/>
        </w:rPr>
        <w:t>Body</w:t>
      </w:r>
      <w:proofErr w:type="spellEnd"/>
      <w:r w:rsidRPr="009E3C54">
        <w:rPr>
          <w:rFonts w:ascii="Gill Sans MT" w:hAnsi="Gill Sans MT"/>
          <w:i/>
          <w:iCs/>
        </w:rPr>
        <w:t xml:space="preserve"> </w:t>
      </w:r>
      <w:proofErr w:type="spellStart"/>
      <w:r w:rsidRPr="009E3C54">
        <w:rPr>
          <w:rFonts w:ascii="Gill Sans MT" w:hAnsi="Gill Sans MT"/>
          <w:i/>
          <w:iCs/>
        </w:rPr>
        <w:t>Size</w:t>
      </w:r>
      <w:proofErr w:type="spellEnd"/>
      <w:r w:rsidRPr="009E3C54">
        <w:rPr>
          <w:rFonts w:ascii="Gill Sans MT" w:hAnsi="Gill Sans MT"/>
          <w:i/>
          <w:iCs/>
        </w:rPr>
        <w:t xml:space="preserve"> and </w:t>
      </w:r>
      <w:proofErr w:type="spellStart"/>
      <w:r w:rsidRPr="009E3C54">
        <w:rPr>
          <w:rFonts w:ascii="Gill Sans MT" w:hAnsi="Gill Sans MT"/>
          <w:i/>
          <w:iCs/>
        </w:rPr>
        <w:t>Body</w:t>
      </w:r>
      <w:proofErr w:type="spellEnd"/>
      <w:r w:rsidRPr="009E3C54">
        <w:rPr>
          <w:rFonts w:ascii="Gill Sans MT" w:hAnsi="Gill Sans MT"/>
          <w:i/>
          <w:iCs/>
        </w:rPr>
        <w:t xml:space="preserve"> </w:t>
      </w:r>
      <w:proofErr w:type="spellStart"/>
      <w:r w:rsidRPr="009E3C54">
        <w:rPr>
          <w:rFonts w:ascii="Gill Sans MT" w:hAnsi="Gill Sans MT"/>
          <w:i/>
          <w:iCs/>
        </w:rPr>
        <w:t>Composition</w:t>
      </w:r>
      <w:proofErr w:type="spellEnd"/>
      <w:r w:rsidRPr="009E3C54">
        <w:rPr>
          <w:rFonts w:ascii="Gill Sans MT" w:hAnsi="Gill Sans MT"/>
          <w:i/>
          <w:iCs/>
        </w:rPr>
        <w:t xml:space="preserve"> </w:t>
      </w:r>
      <w:proofErr w:type="spellStart"/>
      <w:r w:rsidRPr="009E3C54">
        <w:rPr>
          <w:rFonts w:ascii="Gill Sans MT" w:hAnsi="Gill Sans MT"/>
          <w:i/>
          <w:iCs/>
        </w:rPr>
        <w:t>for</w:t>
      </w:r>
      <w:proofErr w:type="spellEnd"/>
      <w:r w:rsidRPr="009E3C54">
        <w:rPr>
          <w:rFonts w:ascii="Gill Sans MT" w:hAnsi="Gill Sans MT"/>
          <w:i/>
          <w:iCs/>
        </w:rPr>
        <w:t xml:space="preserve"> </w:t>
      </w:r>
      <w:proofErr w:type="spellStart"/>
      <w:r w:rsidRPr="009E3C54">
        <w:rPr>
          <w:rFonts w:ascii="Gill Sans MT" w:hAnsi="Gill Sans MT"/>
          <w:i/>
          <w:iCs/>
        </w:rPr>
        <w:t>Children</w:t>
      </w:r>
      <w:proofErr w:type="spellEnd"/>
      <w:r w:rsidRPr="009E3C54">
        <w:rPr>
          <w:rFonts w:ascii="Gill Sans MT" w:hAnsi="Gill Sans MT"/>
          <w:i/>
          <w:iCs/>
        </w:rPr>
        <w:t xml:space="preserve"> and </w:t>
      </w:r>
      <w:proofErr w:type="spellStart"/>
      <w:r w:rsidRPr="009E3C54">
        <w:rPr>
          <w:rFonts w:ascii="Gill Sans MT" w:hAnsi="Gill Sans MT"/>
          <w:i/>
          <w:iCs/>
        </w:rPr>
        <w:t>Adults</w:t>
      </w:r>
      <w:proofErr w:type="spellEnd"/>
      <w:r w:rsidRPr="009E3C54">
        <w:rPr>
          <w:rFonts w:ascii="Gill Sans MT" w:hAnsi="Gill Sans MT"/>
        </w:rPr>
        <w:t xml:space="preserve">. </w:t>
      </w:r>
      <w:proofErr w:type="spellStart"/>
      <w:r w:rsidRPr="009E3C54">
        <w:rPr>
          <w:rFonts w:ascii="Gill Sans MT" w:hAnsi="Gill Sans MT"/>
        </w:rPr>
        <w:t>University</w:t>
      </w:r>
      <w:proofErr w:type="spellEnd"/>
      <w:r w:rsidRPr="009E3C54">
        <w:rPr>
          <w:rFonts w:ascii="Gill Sans MT" w:hAnsi="Gill Sans MT"/>
        </w:rPr>
        <w:t xml:space="preserve"> </w:t>
      </w:r>
      <w:proofErr w:type="spellStart"/>
      <w:r w:rsidRPr="009E3C54">
        <w:rPr>
          <w:rFonts w:ascii="Gill Sans MT" w:hAnsi="Gill Sans MT"/>
        </w:rPr>
        <w:t>of</w:t>
      </w:r>
      <w:proofErr w:type="spellEnd"/>
      <w:r w:rsidRPr="009E3C54">
        <w:rPr>
          <w:rFonts w:ascii="Gill Sans MT" w:hAnsi="Gill Sans MT"/>
        </w:rPr>
        <w:t xml:space="preserve"> Michigan </w:t>
      </w:r>
      <w:proofErr w:type="spellStart"/>
      <w:r w:rsidRPr="009E3C54">
        <w:rPr>
          <w:rFonts w:ascii="Gill Sans MT" w:hAnsi="Gill Sans MT"/>
        </w:rPr>
        <w:t>Press</w:t>
      </w:r>
      <w:proofErr w:type="spellEnd"/>
      <w:r w:rsidRPr="009E3C54">
        <w:rPr>
          <w:rFonts w:ascii="Gill Sans MT" w:hAnsi="Gill Sans MT"/>
        </w:rPr>
        <w:t>.</w:t>
      </w:r>
    </w:p>
    <w:p w14:paraId="6AB5A5C3" w14:textId="77777777" w:rsidR="009E3C54" w:rsidRPr="009E3C54" w:rsidRDefault="009E3C54" w:rsidP="009E3C54">
      <w:pPr>
        <w:rPr>
          <w:rFonts w:ascii="Gill Sans MT" w:hAnsi="Gill Sans MT"/>
        </w:rPr>
      </w:pPr>
    </w:p>
    <w:p w14:paraId="549A6B8A" w14:textId="77777777" w:rsidR="009E3C54" w:rsidRPr="009E3C54" w:rsidRDefault="009E3C54">
      <w:pPr>
        <w:rPr>
          <w:rFonts w:ascii="Gill Sans MT" w:hAnsi="Gill Sans MT"/>
        </w:rPr>
      </w:pPr>
    </w:p>
    <w:sectPr w:rsidR="009E3C54" w:rsidRPr="009E3C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5102"/>
    <w:multiLevelType w:val="multilevel"/>
    <w:tmpl w:val="FA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ACA"/>
    <w:multiLevelType w:val="multilevel"/>
    <w:tmpl w:val="CCE4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106E9C"/>
    <w:multiLevelType w:val="multilevel"/>
    <w:tmpl w:val="561C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111511">
    <w:abstractNumId w:val="2"/>
  </w:num>
  <w:num w:numId="2" w16cid:durableId="2047022411">
    <w:abstractNumId w:val="0"/>
  </w:num>
  <w:num w:numId="3" w16cid:durableId="11214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54"/>
    <w:rsid w:val="0054113F"/>
    <w:rsid w:val="008C4191"/>
    <w:rsid w:val="009E3C54"/>
    <w:rsid w:val="00B368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66DE"/>
  <w15:chartTrackingRefBased/>
  <w15:docId w15:val="{2B900C30-14EA-48AC-B532-6A166AF7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3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3C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3C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3C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3C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3C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3C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3C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C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3C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3C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3C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3C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3C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3C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3C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3C54"/>
    <w:rPr>
      <w:rFonts w:eastAsiaTheme="majorEastAsia" w:cstheme="majorBidi"/>
      <w:color w:val="272727" w:themeColor="text1" w:themeTint="D8"/>
    </w:rPr>
  </w:style>
  <w:style w:type="paragraph" w:styleId="Ttulo">
    <w:name w:val="Title"/>
    <w:basedOn w:val="Normal"/>
    <w:next w:val="Normal"/>
    <w:link w:val="TtuloCar"/>
    <w:uiPriority w:val="10"/>
    <w:qFormat/>
    <w:rsid w:val="009E3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3C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3C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3C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3C54"/>
    <w:pPr>
      <w:spacing w:before="160"/>
      <w:jc w:val="center"/>
    </w:pPr>
    <w:rPr>
      <w:i/>
      <w:iCs/>
      <w:color w:val="404040" w:themeColor="text1" w:themeTint="BF"/>
    </w:rPr>
  </w:style>
  <w:style w:type="character" w:customStyle="1" w:styleId="CitaCar">
    <w:name w:val="Cita Car"/>
    <w:basedOn w:val="Fuentedeprrafopredeter"/>
    <w:link w:val="Cita"/>
    <w:uiPriority w:val="29"/>
    <w:rsid w:val="009E3C54"/>
    <w:rPr>
      <w:i/>
      <w:iCs/>
      <w:color w:val="404040" w:themeColor="text1" w:themeTint="BF"/>
    </w:rPr>
  </w:style>
  <w:style w:type="paragraph" w:styleId="Prrafodelista">
    <w:name w:val="List Paragraph"/>
    <w:basedOn w:val="Normal"/>
    <w:uiPriority w:val="34"/>
    <w:qFormat/>
    <w:rsid w:val="009E3C54"/>
    <w:pPr>
      <w:ind w:left="720"/>
      <w:contextualSpacing/>
    </w:pPr>
  </w:style>
  <w:style w:type="character" w:styleId="nfasisintenso">
    <w:name w:val="Intense Emphasis"/>
    <w:basedOn w:val="Fuentedeprrafopredeter"/>
    <w:uiPriority w:val="21"/>
    <w:qFormat/>
    <w:rsid w:val="009E3C54"/>
    <w:rPr>
      <w:i/>
      <w:iCs/>
      <w:color w:val="0F4761" w:themeColor="accent1" w:themeShade="BF"/>
    </w:rPr>
  </w:style>
  <w:style w:type="paragraph" w:styleId="Citadestacada">
    <w:name w:val="Intense Quote"/>
    <w:basedOn w:val="Normal"/>
    <w:next w:val="Normal"/>
    <w:link w:val="CitadestacadaCar"/>
    <w:uiPriority w:val="30"/>
    <w:qFormat/>
    <w:rsid w:val="009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3C54"/>
    <w:rPr>
      <w:i/>
      <w:iCs/>
      <w:color w:val="0F4761" w:themeColor="accent1" w:themeShade="BF"/>
    </w:rPr>
  </w:style>
  <w:style w:type="character" w:styleId="Referenciaintensa">
    <w:name w:val="Intense Reference"/>
    <w:basedOn w:val="Fuentedeprrafopredeter"/>
    <w:uiPriority w:val="32"/>
    <w:qFormat/>
    <w:rsid w:val="009E3C54"/>
    <w:rPr>
      <w:b/>
      <w:bCs/>
      <w:smallCaps/>
      <w:color w:val="0F4761" w:themeColor="accent1" w:themeShade="BF"/>
      <w:spacing w:val="5"/>
    </w:rPr>
  </w:style>
  <w:style w:type="character" w:styleId="Hipervnculo">
    <w:name w:val="Hyperlink"/>
    <w:basedOn w:val="Fuentedeprrafopredeter"/>
    <w:uiPriority w:val="99"/>
    <w:unhideWhenUsed/>
    <w:rsid w:val="009E3C54"/>
    <w:rPr>
      <w:color w:val="467886" w:themeColor="hyperlink"/>
      <w:u w:val="single"/>
    </w:rPr>
  </w:style>
  <w:style w:type="character" w:styleId="Mencinsinresolver">
    <w:name w:val="Unresolved Mention"/>
    <w:basedOn w:val="Fuentedeprrafopredeter"/>
    <w:uiPriority w:val="99"/>
    <w:semiHidden/>
    <w:unhideWhenUsed/>
    <w:rsid w:val="009E3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452129">
      <w:bodyDiv w:val="1"/>
      <w:marLeft w:val="0"/>
      <w:marRight w:val="0"/>
      <w:marTop w:val="0"/>
      <w:marBottom w:val="0"/>
      <w:divBdr>
        <w:top w:val="none" w:sz="0" w:space="0" w:color="auto"/>
        <w:left w:val="none" w:sz="0" w:space="0" w:color="auto"/>
        <w:bottom w:val="none" w:sz="0" w:space="0" w:color="auto"/>
        <w:right w:val="none" w:sz="0" w:space="0" w:color="auto"/>
      </w:divBdr>
    </w:div>
    <w:div w:id="568419213">
      <w:bodyDiv w:val="1"/>
      <w:marLeft w:val="0"/>
      <w:marRight w:val="0"/>
      <w:marTop w:val="0"/>
      <w:marBottom w:val="0"/>
      <w:divBdr>
        <w:top w:val="none" w:sz="0" w:space="0" w:color="auto"/>
        <w:left w:val="none" w:sz="0" w:space="0" w:color="auto"/>
        <w:bottom w:val="none" w:sz="0" w:space="0" w:color="auto"/>
        <w:right w:val="none" w:sz="0" w:space="0" w:color="auto"/>
      </w:divBdr>
    </w:div>
    <w:div w:id="570391844">
      <w:bodyDiv w:val="1"/>
      <w:marLeft w:val="0"/>
      <w:marRight w:val="0"/>
      <w:marTop w:val="0"/>
      <w:marBottom w:val="0"/>
      <w:divBdr>
        <w:top w:val="none" w:sz="0" w:space="0" w:color="auto"/>
        <w:left w:val="none" w:sz="0" w:space="0" w:color="auto"/>
        <w:bottom w:val="none" w:sz="0" w:space="0" w:color="auto"/>
        <w:right w:val="none" w:sz="0" w:space="0" w:color="auto"/>
      </w:divBdr>
    </w:div>
    <w:div w:id="778793238">
      <w:bodyDiv w:val="1"/>
      <w:marLeft w:val="0"/>
      <w:marRight w:val="0"/>
      <w:marTop w:val="0"/>
      <w:marBottom w:val="0"/>
      <w:divBdr>
        <w:top w:val="none" w:sz="0" w:space="0" w:color="auto"/>
        <w:left w:val="none" w:sz="0" w:space="0" w:color="auto"/>
        <w:bottom w:val="none" w:sz="0" w:space="0" w:color="auto"/>
        <w:right w:val="none" w:sz="0" w:space="0" w:color="auto"/>
      </w:divBdr>
    </w:div>
    <w:div w:id="1491366764">
      <w:bodyDiv w:val="1"/>
      <w:marLeft w:val="0"/>
      <w:marRight w:val="0"/>
      <w:marTop w:val="0"/>
      <w:marBottom w:val="0"/>
      <w:divBdr>
        <w:top w:val="none" w:sz="0" w:space="0" w:color="auto"/>
        <w:left w:val="none" w:sz="0" w:space="0" w:color="auto"/>
        <w:bottom w:val="none" w:sz="0" w:space="0" w:color="auto"/>
        <w:right w:val="none" w:sz="0" w:space="0" w:color="auto"/>
      </w:divBdr>
    </w:div>
    <w:div w:id="19569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es/news-room/fact-sheets/detail/malnutr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p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1029</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ojeda</dc:creator>
  <cp:keywords/>
  <dc:description/>
  <cp:lastModifiedBy>ángel ojeda</cp:lastModifiedBy>
  <cp:revision>1</cp:revision>
  <dcterms:created xsi:type="dcterms:W3CDTF">2025-05-24T21:30:00Z</dcterms:created>
  <dcterms:modified xsi:type="dcterms:W3CDTF">2025-05-24T22:21:00Z</dcterms:modified>
</cp:coreProperties>
</file>