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6D3C3" w14:textId="77777777" w:rsidR="00B924D2" w:rsidRDefault="00B924D2" w:rsidP="00B924D2">
      <w:pPr>
        <w:shd w:val="clear" w:color="auto" w:fill="FFFFFF"/>
        <w:spacing w:after="0" w:line="360" w:lineRule="auto"/>
        <w:textAlignment w:val="baseline"/>
        <w:rPr>
          <w:rFonts w:ascii="Gill Sans MT" w:eastAsia="Calibri" w:hAnsi="Gill Sans MT" w:cs="Times New Roman"/>
          <w:noProof/>
          <w:sz w:val="24"/>
          <w:szCs w:val="24"/>
          <w:lang w:eastAsia="es-MX"/>
        </w:rPr>
      </w:pPr>
      <w:bookmarkStart w:id="0" w:name="_Hlk179748684"/>
    </w:p>
    <w:p w14:paraId="1336A60D" w14:textId="77777777" w:rsidR="00B924D2" w:rsidRPr="002365C2" w:rsidRDefault="00B924D2" w:rsidP="00B924D2">
      <w:pPr>
        <w:spacing w:line="360" w:lineRule="auto"/>
        <w:rPr>
          <w:rFonts w:ascii="Gill Sans MT" w:hAnsi="Gill Sans MT"/>
          <w:color w:val="1F4E79"/>
        </w:rPr>
      </w:pPr>
    </w:p>
    <w:p w14:paraId="328CFBC4" w14:textId="77777777" w:rsidR="00B924D2" w:rsidRPr="002365C2" w:rsidRDefault="00B924D2" w:rsidP="00B924D2">
      <w:pPr>
        <w:spacing w:line="360" w:lineRule="auto"/>
        <w:rPr>
          <w:rFonts w:ascii="Gill Sans MT" w:hAnsi="Gill Sans MT"/>
          <w:color w:val="1F4E79"/>
        </w:rPr>
      </w:pPr>
    </w:p>
    <w:p w14:paraId="65A36D23" w14:textId="77777777" w:rsidR="00B924D2" w:rsidRPr="002365C2" w:rsidRDefault="00B924D2" w:rsidP="00B924D2">
      <w:pPr>
        <w:spacing w:line="360" w:lineRule="auto"/>
        <w:jc w:val="center"/>
        <w:rPr>
          <w:rFonts w:ascii="Gill Sans MT" w:hAnsi="Gill Sans MT"/>
          <w:color w:val="1F4E79"/>
        </w:rPr>
      </w:pPr>
      <w:bookmarkStart w:id="1" w:name="_Hlk181820267"/>
      <w:r w:rsidRPr="002365C2">
        <w:rPr>
          <w:rFonts w:ascii="Gill Sans MT" w:hAnsi="Gill Sans MT"/>
          <w:noProof/>
          <w:color w:val="1F4E79"/>
          <w:lang w:eastAsia="es-MX"/>
        </w:rPr>
        <w:drawing>
          <wp:inline distT="0" distB="0" distL="0" distR="0" wp14:anchorId="2B31E1C6" wp14:editId="33AF20D4">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5">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499EB6E0" w14:textId="77777777" w:rsidR="00B924D2" w:rsidRDefault="00B924D2" w:rsidP="00B924D2">
      <w:pPr>
        <w:tabs>
          <w:tab w:val="left" w:pos="3220"/>
        </w:tabs>
        <w:spacing w:line="360" w:lineRule="auto"/>
        <w:jc w:val="right"/>
        <w:rPr>
          <w:rFonts w:ascii="Gill Sans MT" w:hAnsi="Gill Sans MT"/>
          <w:b/>
          <w:color w:val="1F4E79"/>
          <w:sz w:val="72"/>
          <w:szCs w:val="72"/>
        </w:rPr>
      </w:pPr>
    </w:p>
    <w:p w14:paraId="68DA7D13" w14:textId="77777777" w:rsidR="00B924D2" w:rsidRPr="00CA3368" w:rsidRDefault="00B924D2" w:rsidP="00B924D2">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59264" behindDoc="1" locked="0" layoutInCell="1" allowOverlap="1" wp14:anchorId="608B2BD2" wp14:editId="561D0A14">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86FE13" w14:textId="77777777" w:rsidR="00B924D2" w:rsidRDefault="00B924D2" w:rsidP="00B924D2">
                            <w:pPr>
                              <w:rPr>
                                <w:rFonts w:ascii="Gill Sans MT" w:hAnsi="Gill Sans MT"/>
                                <w:color w:val="77206D" w:themeColor="accent5" w:themeShade="BF"/>
                                <w:sz w:val="72"/>
                                <w:szCs w:val="64"/>
                              </w:rPr>
                            </w:pPr>
                          </w:p>
                          <w:p w14:paraId="12CE136B" w14:textId="2BE5004D" w:rsidR="00B924D2" w:rsidRDefault="00B924D2" w:rsidP="00B924D2">
                            <w:pPr>
                              <w:rPr>
                                <w:rFonts w:ascii="Gill Sans MT" w:hAnsi="Gill Sans MT"/>
                                <w:i/>
                                <w:color w:val="131E32"/>
                                <w:sz w:val="32"/>
                                <w:szCs w:val="32"/>
                              </w:rPr>
                            </w:pPr>
                            <w:r>
                              <w:rPr>
                                <w:rFonts w:ascii="Gill Sans MT" w:hAnsi="Gill Sans MT"/>
                                <w:i/>
                                <w:color w:val="131E32"/>
                                <w:sz w:val="32"/>
                                <w:szCs w:val="32"/>
                              </w:rPr>
                              <w:t xml:space="preserve">Nombre del Alumno: </w:t>
                            </w:r>
                            <w:r>
                              <w:rPr>
                                <w:rFonts w:ascii="Gill Sans MT" w:hAnsi="Gill Sans MT"/>
                                <w:i/>
                                <w:color w:val="131E32"/>
                                <w:sz w:val="32"/>
                                <w:szCs w:val="32"/>
                              </w:rPr>
                              <w:t xml:space="preserve">DANIEL </w:t>
                            </w:r>
                            <w:proofErr w:type="gramStart"/>
                            <w:r>
                              <w:rPr>
                                <w:rFonts w:ascii="Gill Sans MT" w:hAnsi="Gill Sans MT"/>
                                <w:i/>
                                <w:color w:val="131E32"/>
                                <w:sz w:val="32"/>
                                <w:szCs w:val="32"/>
                              </w:rPr>
                              <w:t>ALEJANDRO  HERNANDEZ</w:t>
                            </w:r>
                            <w:proofErr w:type="gramEnd"/>
                            <w:r>
                              <w:rPr>
                                <w:rFonts w:ascii="Gill Sans MT" w:hAnsi="Gill Sans MT"/>
                                <w:i/>
                                <w:color w:val="131E32"/>
                                <w:sz w:val="32"/>
                                <w:szCs w:val="32"/>
                              </w:rPr>
                              <w:t xml:space="preserve"> AGUILAR</w:t>
                            </w:r>
                          </w:p>
                          <w:p w14:paraId="06CBB4A9" w14:textId="3EA44708" w:rsidR="00B924D2" w:rsidRDefault="00B924D2" w:rsidP="00B924D2">
                            <w:pPr>
                              <w:rPr>
                                <w:rFonts w:ascii="Gill Sans MT" w:hAnsi="Gill Sans MT"/>
                                <w:i/>
                                <w:color w:val="131E32"/>
                                <w:sz w:val="32"/>
                                <w:szCs w:val="32"/>
                              </w:rPr>
                            </w:pPr>
                            <w:r>
                              <w:rPr>
                                <w:rFonts w:ascii="Gill Sans MT" w:hAnsi="Gill Sans MT"/>
                                <w:i/>
                                <w:color w:val="131E32"/>
                                <w:sz w:val="32"/>
                                <w:szCs w:val="32"/>
                              </w:rPr>
                              <w:t>Nombre del tema</w:t>
                            </w:r>
                            <w:r>
                              <w:rPr>
                                <w:rFonts w:ascii="Gill Sans MT" w:hAnsi="Gill Sans MT"/>
                                <w:i/>
                                <w:color w:val="131E32"/>
                                <w:sz w:val="32"/>
                                <w:szCs w:val="32"/>
                              </w:rPr>
                              <w:t>: PREGUNTAS</w:t>
                            </w:r>
                          </w:p>
                          <w:p w14:paraId="21410F80" w14:textId="0933E8B4" w:rsidR="00B924D2" w:rsidRPr="00600C05" w:rsidRDefault="00B924D2" w:rsidP="00B924D2">
                            <w:pPr>
                              <w:rPr>
                                <w:rFonts w:ascii="Gill Sans MT" w:hAnsi="Gill Sans MT"/>
                                <w:i/>
                                <w:color w:val="131E32"/>
                                <w:sz w:val="32"/>
                                <w:szCs w:val="32"/>
                              </w:rPr>
                            </w:pPr>
                            <w:r>
                              <w:rPr>
                                <w:rFonts w:ascii="Gill Sans MT" w:hAnsi="Gill Sans MT"/>
                                <w:i/>
                                <w:color w:val="131E32"/>
                                <w:sz w:val="32"/>
                                <w:szCs w:val="32"/>
                              </w:rPr>
                              <w:t xml:space="preserve">Nombre de la Materia: </w:t>
                            </w:r>
                            <w:r>
                              <w:rPr>
                                <w:rFonts w:ascii="Gill Sans MT" w:hAnsi="Gill Sans MT"/>
                                <w:i/>
                                <w:color w:val="131E32"/>
                                <w:sz w:val="32"/>
                                <w:szCs w:val="32"/>
                              </w:rPr>
                              <w:t xml:space="preserve">FARMACOLOGIA </w:t>
                            </w:r>
                            <w:r w:rsidR="000D0863">
                              <w:rPr>
                                <w:rFonts w:ascii="Gill Sans MT" w:hAnsi="Gill Sans MT"/>
                                <w:i/>
                                <w:color w:val="131E32"/>
                                <w:sz w:val="32"/>
                                <w:szCs w:val="32"/>
                              </w:rPr>
                              <w:t xml:space="preserve">Y </w:t>
                            </w:r>
                            <w:r>
                              <w:rPr>
                                <w:rFonts w:ascii="Gill Sans MT" w:hAnsi="Gill Sans MT"/>
                                <w:i/>
                                <w:color w:val="131E32"/>
                                <w:sz w:val="32"/>
                                <w:szCs w:val="32"/>
                              </w:rPr>
                              <w:t>VETERINARIA I</w:t>
                            </w:r>
                          </w:p>
                          <w:p w14:paraId="57FC532D" w14:textId="1518C96A" w:rsidR="00B924D2" w:rsidRDefault="00B924D2" w:rsidP="00B924D2">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profesor: </w:t>
                            </w:r>
                            <w:r w:rsidR="000D0863">
                              <w:rPr>
                                <w:rFonts w:ascii="Gill Sans MT" w:hAnsi="Gill Sans MT"/>
                                <w:i/>
                                <w:color w:val="131E32"/>
                                <w:sz w:val="32"/>
                                <w:szCs w:val="32"/>
                              </w:rPr>
                              <w:t xml:space="preserve">JOSE </w:t>
                            </w:r>
                            <w:r>
                              <w:rPr>
                                <w:rFonts w:ascii="Gill Sans MT" w:hAnsi="Gill Sans MT"/>
                                <w:i/>
                                <w:color w:val="131E32"/>
                                <w:sz w:val="32"/>
                                <w:szCs w:val="32"/>
                              </w:rPr>
                              <w:t>MAURICIO PADILLA</w:t>
                            </w:r>
                            <w:r w:rsidR="000D0863">
                              <w:rPr>
                                <w:rFonts w:ascii="Gill Sans MT" w:hAnsi="Gill Sans MT"/>
                                <w:i/>
                                <w:color w:val="131E32"/>
                                <w:sz w:val="32"/>
                                <w:szCs w:val="32"/>
                              </w:rPr>
                              <w:t xml:space="preserve"> GOMEZ</w:t>
                            </w:r>
                          </w:p>
                          <w:p w14:paraId="060FCF9A" w14:textId="77777777" w:rsidR="00B924D2" w:rsidRDefault="00B924D2" w:rsidP="00B924D2">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 MEDICINA VETERINARIA Y ZOOTECNIA</w:t>
                            </w:r>
                          </w:p>
                          <w:p w14:paraId="279BE9CA" w14:textId="2772E715" w:rsidR="00B924D2" w:rsidRPr="00600C05" w:rsidRDefault="00B924D2" w:rsidP="00B924D2">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 II</w:t>
                            </w:r>
                            <w:r w:rsidR="000D0863">
                              <w:rPr>
                                <w:rFonts w:ascii="Gill Sans MT" w:hAnsi="Gill Sans MT"/>
                                <w:i/>
                                <w:color w:val="131E32"/>
                                <w:sz w:val="32"/>
                                <w:szCs w:val="32"/>
                              </w:rPr>
                              <w:t>I</w:t>
                            </w:r>
                          </w:p>
                          <w:p w14:paraId="2364AF9E" w14:textId="77777777" w:rsidR="00B924D2" w:rsidRPr="00600C05" w:rsidRDefault="00B924D2" w:rsidP="00B924D2">
                            <w:pPr>
                              <w:rPr>
                                <w:rFonts w:ascii="Gill Sans MT" w:hAnsi="Gill Sans MT"/>
                                <w:color w:val="131E32"/>
                                <w:sz w:val="52"/>
                                <w:szCs w:val="64"/>
                                <w:highlight w:val="yellow"/>
                              </w:rPr>
                            </w:pPr>
                          </w:p>
                          <w:p w14:paraId="68B213F1" w14:textId="77777777" w:rsidR="00B924D2" w:rsidRPr="00600C05" w:rsidRDefault="00B924D2" w:rsidP="00B924D2">
                            <w:pPr>
                              <w:jc w:val="right"/>
                              <w:rPr>
                                <w:rFonts w:ascii="Gill Sans MT" w:hAnsi="Gill Sans MT"/>
                                <w:color w:val="131E32"/>
                                <w:sz w:val="52"/>
                                <w:szCs w:val="64"/>
                              </w:rPr>
                            </w:pPr>
                          </w:p>
                          <w:p w14:paraId="12B3F2B3" w14:textId="77777777" w:rsidR="00B924D2" w:rsidRPr="00FD0386" w:rsidRDefault="00B924D2" w:rsidP="00B924D2">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1C7270F5" w14:textId="77777777" w:rsidR="00B924D2" w:rsidRPr="0085340D" w:rsidRDefault="00B924D2" w:rsidP="00B924D2">
                            <w:pPr>
                              <w:rPr>
                                <w:rFonts w:ascii="Gill Sans MT" w:hAnsi="Gill Sans MT"/>
                                <w:color w:val="77206D" w:themeColor="accent5" w:themeShade="BF"/>
                                <w:sz w:val="56"/>
                                <w:szCs w:val="64"/>
                              </w:rPr>
                            </w:pPr>
                          </w:p>
                          <w:p w14:paraId="6D6415C2" w14:textId="77777777" w:rsidR="00B924D2" w:rsidRPr="0085340D" w:rsidRDefault="00B924D2" w:rsidP="00B924D2">
                            <w:pPr>
                              <w:rPr>
                                <w:rFonts w:ascii="Gill Sans MT" w:hAnsi="Gill Sans MT"/>
                                <w:color w:val="77206D" w:themeColor="accent5" w:themeShade="BF"/>
                                <w:sz w:val="56"/>
                                <w:szCs w:val="64"/>
                              </w:rPr>
                            </w:pPr>
                          </w:p>
                          <w:p w14:paraId="33A39A81" w14:textId="77777777" w:rsidR="00B924D2" w:rsidRPr="0085340D" w:rsidRDefault="00B924D2" w:rsidP="00B924D2">
                            <w:pPr>
                              <w:rPr>
                                <w:rFonts w:ascii="Gill Sans MT" w:hAnsi="Gill Sans MT"/>
                                <w:color w:val="77206D" w:themeColor="accent5" w:themeShade="BF"/>
                                <w:sz w:val="56"/>
                                <w:szCs w:val="64"/>
                              </w:rPr>
                            </w:pPr>
                          </w:p>
                          <w:p w14:paraId="266B176A" w14:textId="77777777" w:rsidR="00B924D2" w:rsidRPr="0085340D" w:rsidRDefault="00B924D2" w:rsidP="00B924D2">
                            <w:pPr>
                              <w:rPr>
                                <w:rFonts w:ascii="Gill Sans MT" w:hAnsi="Gill Sans MT"/>
                                <w:color w:val="77206D"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B2BD2"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xhdwIAAGYFAAAOAAAAZHJzL2Uyb0RvYy54bWysVEtv2zAMvg/YfxB0X52kSdYFdYqsRYcB&#10;RVusHXpWZKkRJouaxMTOfv0o2Xms66XDLjYlfnx9Inl+0daWbVSIBlzJhycDzpSTUBn3XPLvj9cf&#10;zjiLKFwlLDhV8q2K/GL+/t1542dqBCuwlQqMnLg4a3zJV4h+VhRRrlQt4gl45UipIdQC6RieiyqI&#10;hrzXthgNBtOigVD5AFLFSLdXnZLPs3+tlcQ7raNCZktOuWH+hvxdpm8xPxez5yD8ysg+DfEPWdTC&#10;OAq6d3UlULB1MH+5qo0MEEHjiYS6AK2NVLkGqmY4eFHNw0p4lWshcqLf0xT/n1t5u3nw94Fh+xla&#10;esBESOPjLNJlqqfVoU5/ypSRnijc7mlTLTJJl9Px2XQymnAmSXf6cTocDibJT3Ew9yHiFwU1S0LJ&#10;A71LpktsbiJ20B0kRYtgTXVtrM2H1Avq0ga2EfSKFnOS5PwPlHWsoVROJ4Ps2EEy7zxbl9yo3A19&#10;uEOJWcKtVQlj3Telmalypa/EFlIqt4+f0QmlKdRbDHv8Iau3GHd1kEWODA73xrVxEHL1eXwOlFU/&#10;dpTpDk9vc1R3ErFdtv3TL6HaUkcE6IYlenlt6NVuRMR7EWg6qAlo4vGOPtoCsQ69xNkKwq/X7hOe&#10;mpa0nDU0bSWPP9ciKM7sV0ft/Gk4HqfxzIfx5OOIDuFYszzWuHV9CdQKQ9otXmYx4dHuRB2gfqLF&#10;sEhRSSWcpNglx514id0OoMUi1WKRQTSQXuCNe/AyuU70pp58bJ9E8H3jIvX8LezmUsxe9G+HTZYO&#10;FmsEbXJzJ4I7VnviaZjzePSLJ22L43NGHdbj/DcAAAD//wMAUEsDBBQABgAIAAAAIQDQLOn/4gAA&#10;AAoBAAAPAAAAZHJzL2Rvd25yZXYueG1sTI/LTsMwEEX3SPyDNUhsUOvQNqYNmVQI8ZDY0fAQOzce&#10;koh4HMVuGv4es4Ll6B7deybfTrYTIw2+dYxwOU9AEFfOtFwjvJT3szUIHzQb3TkmhG/ysC1OT3Kd&#10;GXfkZxp3oRaxhH2mEZoQ+kxKXzVktZ+7njhmn26wOsRzqKUZ9DGW204ukkRJq1uOC43u6bah6mt3&#10;sAgfF/X7k58eXo/LdNnfPY7l1ZspEc/PpptrEIGm8AfDr35UhyI67d2BjRcdwkwpFVGEVC1ARGCT&#10;rjYg9ghqtU5BFrn8/0LxAwAA//8DAFBLAQItABQABgAIAAAAIQC2gziS/gAAAOEBAAATAAAAAAAA&#10;AAAAAAAAAAAAAABbQ29udGVudF9UeXBlc10ueG1sUEsBAi0AFAAGAAgAAAAhADj9If/WAAAAlAEA&#10;AAsAAAAAAAAAAAAAAAAALwEAAF9yZWxzLy5yZWxzUEsBAi0AFAAGAAgAAAAhAAQbXGF3AgAAZgUA&#10;AA4AAAAAAAAAAAAAAAAALgIAAGRycy9lMm9Eb2MueG1sUEsBAi0AFAAGAAgAAAAhANAs6f/iAAAA&#10;CgEAAA8AAAAAAAAAAAAAAAAA0QQAAGRycy9kb3ducmV2LnhtbFBLBQYAAAAABAAEAPMAAADgBQAA&#10;AAA=&#10;" fillcolor="white [3201]" stroked="f" strokeweight=".5pt">
                <v:textbox>
                  <w:txbxContent>
                    <w:p w14:paraId="6186FE13" w14:textId="77777777" w:rsidR="00B924D2" w:rsidRDefault="00B924D2" w:rsidP="00B924D2">
                      <w:pPr>
                        <w:rPr>
                          <w:rFonts w:ascii="Gill Sans MT" w:hAnsi="Gill Sans MT"/>
                          <w:color w:val="77206D" w:themeColor="accent5" w:themeShade="BF"/>
                          <w:sz w:val="72"/>
                          <w:szCs w:val="64"/>
                        </w:rPr>
                      </w:pPr>
                    </w:p>
                    <w:p w14:paraId="12CE136B" w14:textId="2BE5004D" w:rsidR="00B924D2" w:rsidRDefault="00B924D2" w:rsidP="00B924D2">
                      <w:pPr>
                        <w:rPr>
                          <w:rFonts w:ascii="Gill Sans MT" w:hAnsi="Gill Sans MT"/>
                          <w:i/>
                          <w:color w:val="131E32"/>
                          <w:sz w:val="32"/>
                          <w:szCs w:val="32"/>
                        </w:rPr>
                      </w:pPr>
                      <w:r>
                        <w:rPr>
                          <w:rFonts w:ascii="Gill Sans MT" w:hAnsi="Gill Sans MT"/>
                          <w:i/>
                          <w:color w:val="131E32"/>
                          <w:sz w:val="32"/>
                          <w:szCs w:val="32"/>
                        </w:rPr>
                        <w:t xml:space="preserve">Nombre del Alumno: </w:t>
                      </w:r>
                      <w:r>
                        <w:rPr>
                          <w:rFonts w:ascii="Gill Sans MT" w:hAnsi="Gill Sans MT"/>
                          <w:i/>
                          <w:color w:val="131E32"/>
                          <w:sz w:val="32"/>
                          <w:szCs w:val="32"/>
                        </w:rPr>
                        <w:t xml:space="preserve">DANIEL </w:t>
                      </w:r>
                      <w:proofErr w:type="gramStart"/>
                      <w:r>
                        <w:rPr>
                          <w:rFonts w:ascii="Gill Sans MT" w:hAnsi="Gill Sans MT"/>
                          <w:i/>
                          <w:color w:val="131E32"/>
                          <w:sz w:val="32"/>
                          <w:szCs w:val="32"/>
                        </w:rPr>
                        <w:t>ALEJANDRO  HERNANDEZ</w:t>
                      </w:r>
                      <w:proofErr w:type="gramEnd"/>
                      <w:r>
                        <w:rPr>
                          <w:rFonts w:ascii="Gill Sans MT" w:hAnsi="Gill Sans MT"/>
                          <w:i/>
                          <w:color w:val="131E32"/>
                          <w:sz w:val="32"/>
                          <w:szCs w:val="32"/>
                        </w:rPr>
                        <w:t xml:space="preserve"> AGUILAR</w:t>
                      </w:r>
                    </w:p>
                    <w:p w14:paraId="06CBB4A9" w14:textId="3EA44708" w:rsidR="00B924D2" w:rsidRDefault="00B924D2" w:rsidP="00B924D2">
                      <w:pPr>
                        <w:rPr>
                          <w:rFonts w:ascii="Gill Sans MT" w:hAnsi="Gill Sans MT"/>
                          <w:i/>
                          <w:color w:val="131E32"/>
                          <w:sz w:val="32"/>
                          <w:szCs w:val="32"/>
                        </w:rPr>
                      </w:pPr>
                      <w:r>
                        <w:rPr>
                          <w:rFonts w:ascii="Gill Sans MT" w:hAnsi="Gill Sans MT"/>
                          <w:i/>
                          <w:color w:val="131E32"/>
                          <w:sz w:val="32"/>
                          <w:szCs w:val="32"/>
                        </w:rPr>
                        <w:t>Nombre del tema</w:t>
                      </w:r>
                      <w:r>
                        <w:rPr>
                          <w:rFonts w:ascii="Gill Sans MT" w:hAnsi="Gill Sans MT"/>
                          <w:i/>
                          <w:color w:val="131E32"/>
                          <w:sz w:val="32"/>
                          <w:szCs w:val="32"/>
                        </w:rPr>
                        <w:t>: PREGUNTAS</w:t>
                      </w:r>
                    </w:p>
                    <w:p w14:paraId="21410F80" w14:textId="0933E8B4" w:rsidR="00B924D2" w:rsidRPr="00600C05" w:rsidRDefault="00B924D2" w:rsidP="00B924D2">
                      <w:pPr>
                        <w:rPr>
                          <w:rFonts w:ascii="Gill Sans MT" w:hAnsi="Gill Sans MT"/>
                          <w:i/>
                          <w:color w:val="131E32"/>
                          <w:sz w:val="32"/>
                          <w:szCs w:val="32"/>
                        </w:rPr>
                      </w:pPr>
                      <w:r>
                        <w:rPr>
                          <w:rFonts w:ascii="Gill Sans MT" w:hAnsi="Gill Sans MT"/>
                          <w:i/>
                          <w:color w:val="131E32"/>
                          <w:sz w:val="32"/>
                          <w:szCs w:val="32"/>
                        </w:rPr>
                        <w:t xml:space="preserve">Nombre de la Materia: </w:t>
                      </w:r>
                      <w:r>
                        <w:rPr>
                          <w:rFonts w:ascii="Gill Sans MT" w:hAnsi="Gill Sans MT"/>
                          <w:i/>
                          <w:color w:val="131E32"/>
                          <w:sz w:val="32"/>
                          <w:szCs w:val="32"/>
                        </w:rPr>
                        <w:t xml:space="preserve">FARMACOLOGIA </w:t>
                      </w:r>
                      <w:r w:rsidR="000D0863">
                        <w:rPr>
                          <w:rFonts w:ascii="Gill Sans MT" w:hAnsi="Gill Sans MT"/>
                          <w:i/>
                          <w:color w:val="131E32"/>
                          <w:sz w:val="32"/>
                          <w:szCs w:val="32"/>
                        </w:rPr>
                        <w:t xml:space="preserve">Y </w:t>
                      </w:r>
                      <w:r>
                        <w:rPr>
                          <w:rFonts w:ascii="Gill Sans MT" w:hAnsi="Gill Sans MT"/>
                          <w:i/>
                          <w:color w:val="131E32"/>
                          <w:sz w:val="32"/>
                          <w:szCs w:val="32"/>
                        </w:rPr>
                        <w:t>VETERINARIA I</w:t>
                      </w:r>
                    </w:p>
                    <w:p w14:paraId="57FC532D" w14:textId="1518C96A" w:rsidR="00B924D2" w:rsidRDefault="00B924D2" w:rsidP="00B924D2">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profesor: </w:t>
                      </w:r>
                      <w:r w:rsidR="000D0863">
                        <w:rPr>
                          <w:rFonts w:ascii="Gill Sans MT" w:hAnsi="Gill Sans MT"/>
                          <w:i/>
                          <w:color w:val="131E32"/>
                          <w:sz w:val="32"/>
                          <w:szCs w:val="32"/>
                        </w:rPr>
                        <w:t xml:space="preserve">JOSE </w:t>
                      </w:r>
                      <w:r>
                        <w:rPr>
                          <w:rFonts w:ascii="Gill Sans MT" w:hAnsi="Gill Sans MT"/>
                          <w:i/>
                          <w:color w:val="131E32"/>
                          <w:sz w:val="32"/>
                          <w:szCs w:val="32"/>
                        </w:rPr>
                        <w:t>MAURICIO PADILLA</w:t>
                      </w:r>
                      <w:r w:rsidR="000D0863">
                        <w:rPr>
                          <w:rFonts w:ascii="Gill Sans MT" w:hAnsi="Gill Sans MT"/>
                          <w:i/>
                          <w:color w:val="131E32"/>
                          <w:sz w:val="32"/>
                          <w:szCs w:val="32"/>
                        </w:rPr>
                        <w:t xml:space="preserve"> GOMEZ</w:t>
                      </w:r>
                    </w:p>
                    <w:p w14:paraId="060FCF9A" w14:textId="77777777" w:rsidR="00B924D2" w:rsidRDefault="00B924D2" w:rsidP="00B924D2">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 MEDICINA VETERINARIA Y ZOOTECNIA</w:t>
                      </w:r>
                    </w:p>
                    <w:p w14:paraId="279BE9CA" w14:textId="2772E715" w:rsidR="00B924D2" w:rsidRPr="00600C05" w:rsidRDefault="00B924D2" w:rsidP="00B924D2">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 II</w:t>
                      </w:r>
                      <w:r w:rsidR="000D0863">
                        <w:rPr>
                          <w:rFonts w:ascii="Gill Sans MT" w:hAnsi="Gill Sans MT"/>
                          <w:i/>
                          <w:color w:val="131E32"/>
                          <w:sz w:val="32"/>
                          <w:szCs w:val="32"/>
                        </w:rPr>
                        <w:t>I</w:t>
                      </w:r>
                    </w:p>
                    <w:p w14:paraId="2364AF9E" w14:textId="77777777" w:rsidR="00B924D2" w:rsidRPr="00600C05" w:rsidRDefault="00B924D2" w:rsidP="00B924D2">
                      <w:pPr>
                        <w:rPr>
                          <w:rFonts w:ascii="Gill Sans MT" w:hAnsi="Gill Sans MT"/>
                          <w:color w:val="131E32"/>
                          <w:sz w:val="52"/>
                          <w:szCs w:val="64"/>
                          <w:highlight w:val="yellow"/>
                        </w:rPr>
                      </w:pPr>
                    </w:p>
                    <w:p w14:paraId="68B213F1" w14:textId="77777777" w:rsidR="00B924D2" w:rsidRPr="00600C05" w:rsidRDefault="00B924D2" w:rsidP="00B924D2">
                      <w:pPr>
                        <w:jc w:val="right"/>
                        <w:rPr>
                          <w:rFonts w:ascii="Gill Sans MT" w:hAnsi="Gill Sans MT"/>
                          <w:color w:val="131E32"/>
                          <w:sz w:val="52"/>
                          <w:szCs w:val="64"/>
                        </w:rPr>
                      </w:pPr>
                    </w:p>
                    <w:p w14:paraId="12B3F2B3" w14:textId="77777777" w:rsidR="00B924D2" w:rsidRPr="00FD0386" w:rsidRDefault="00B924D2" w:rsidP="00B924D2">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1C7270F5" w14:textId="77777777" w:rsidR="00B924D2" w:rsidRPr="0085340D" w:rsidRDefault="00B924D2" w:rsidP="00B924D2">
                      <w:pPr>
                        <w:rPr>
                          <w:rFonts w:ascii="Gill Sans MT" w:hAnsi="Gill Sans MT"/>
                          <w:color w:val="77206D" w:themeColor="accent5" w:themeShade="BF"/>
                          <w:sz w:val="56"/>
                          <w:szCs w:val="64"/>
                        </w:rPr>
                      </w:pPr>
                    </w:p>
                    <w:p w14:paraId="6D6415C2" w14:textId="77777777" w:rsidR="00B924D2" w:rsidRPr="0085340D" w:rsidRDefault="00B924D2" w:rsidP="00B924D2">
                      <w:pPr>
                        <w:rPr>
                          <w:rFonts w:ascii="Gill Sans MT" w:hAnsi="Gill Sans MT"/>
                          <w:color w:val="77206D" w:themeColor="accent5" w:themeShade="BF"/>
                          <w:sz w:val="56"/>
                          <w:szCs w:val="64"/>
                        </w:rPr>
                      </w:pPr>
                    </w:p>
                    <w:p w14:paraId="33A39A81" w14:textId="77777777" w:rsidR="00B924D2" w:rsidRPr="0085340D" w:rsidRDefault="00B924D2" w:rsidP="00B924D2">
                      <w:pPr>
                        <w:rPr>
                          <w:rFonts w:ascii="Gill Sans MT" w:hAnsi="Gill Sans MT"/>
                          <w:color w:val="77206D" w:themeColor="accent5" w:themeShade="BF"/>
                          <w:sz w:val="56"/>
                          <w:szCs w:val="64"/>
                        </w:rPr>
                      </w:pPr>
                    </w:p>
                    <w:p w14:paraId="266B176A" w14:textId="77777777" w:rsidR="00B924D2" w:rsidRPr="0085340D" w:rsidRDefault="00B924D2" w:rsidP="00B924D2">
                      <w:pPr>
                        <w:rPr>
                          <w:rFonts w:ascii="Gill Sans MT" w:hAnsi="Gill Sans MT"/>
                          <w:color w:val="77206D"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 </w:t>
      </w:r>
    </w:p>
    <w:p w14:paraId="7F64AE33" w14:textId="20FD299B" w:rsidR="000D0AF9" w:rsidRPr="000D0AF9" w:rsidRDefault="00B924D2" w:rsidP="00B924D2">
      <w:r>
        <w:rPr>
          <w:rFonts w:ascii="Gill Sans MT" w:eastAsia="Calibri" w:hAnsi="Gill Sans MT" w:cs="Times New Roman"/>
          <w:noProof/>
          <w:sz w:val="24"/>
          <w:szCs w:val="24"/>
          <w:lang w:eastAsia="es-MX"/>
        </w:rPr>
        <w:br w:type="page"/>
      </w:r>
      <w:bookmarkEnd w:id="0"/>
      <w:bookmarkEnd w:id="1"/>
      <w:r w:rsidR="000D0AF9" w:rsidRPr="000D0AF9">
        <w:rPr>
          <w:b/>
          <w:bCs/>
        </w:rPr>
        <w:lastRenderedPageBreak/>
        <w:t>Preguntas</w:t>
      </w:r>
      <w:r w:rsidR="000D0AF9">
        <w:rPr>
          <w:b/>
          <w:bCs/>
        </w:rPr>
        <w:t>:</w:t>
      </w:r>
    </w:p>
    <w:p w14:paraId="547BDD0D" w14:textId="77777777" w:rsidR="000D0AF9" w:rsidRDefault="000D0AF9" w:rsidP="000D0AF9">
      <w:pPr>
        <w:numPr>
          <w:ilvl w:val="0"/>
          <w:numId w:val="1"/>
        </w:numPr>
      </w:pPr>
      <w:r w:rsidRPr="000D0AF9">
        <w:t xml:space="preserve">¿Qué tipo de receptor está involucrado principalmente en esta reacción alérgica: </w:t>
      </w:r>
      <w:proofErr w:type="gramStart"/>
      <w:r w:rsidRPr="000D0AF9">
        <w:t>H1, H2, H3 o H4?</w:t>
      </w:r>
      <w:proofErr w:type="gramEnd"/>
      <w:r w:rsidRPr="000D0AF9">
        <w:t xml:space="preserve"> Justifica.</w:t>
      </w:r>
    </w:p>
    <w:p w14:paraId="702B4CFB" w14:textId="4934FE92" w:rsidR="000D0AF9" w:rsidRPr="000D0AF9" w:rsidRDefault="000D0AF9" w:rsidP="000D0AF9">
      <w:pPr>
        <w:ind w:left="720"/>
      </w:pPr>
      <w:r w:rsidRPr="000D0AF9">
        <w:t>En una reacción alérgica de hipersensibilidad tipo I, el receptor involucrado principalmente es el receptor H1 de histamina.</w:t>
      </w:r>
      <w:r>
        <w:t xml:space="preserve"> </w:t>
      </w:r>
      <w:r w:rsidRPr="000D0AF9">
        <w:t>La histamina es una amina biógena liberada por los mastocitos y basófilos durante una reacción alérgica. Los receptores H1 se encuentran ampliamente distribuidos en</w:t>
      </w:r>
      <w:r>
        <w:t xml:space="preserve"> el </w:t>
      </w:r>
      <w:r w:rsidRPr="000D0AF9">
        <w:t>Músculo liso bronquial</w:t>
      </w:r>
      <w:r w:rsidRPr="000D0AF9">
        <w:t xml:space="preserve">, </w:t>
      </w:r>
      <w:r w:rsidRPr="000D0AF9">
        <w:t>Músculo liso vascular</w:t>
      </w:r>
      <w:r w:rsidRPr="000D0AF9">
        <w:t xml:space="preserve">, </w:t>
      </w:r>
      <w:r w:rsidRPr="000D0AF9">
        <w:t>Terminaciones nerviosas sensoriales</w:t>
      </w:r>
      <w:r w:rsidRPr="000D0AF9">
        <w:t xml:space="preserve"> Y </w:t>
      </w:r>
      <w:r w:rsidRPr="000D0AF9">
        <w:t>Glándulas exocrinas</w:t>
      </w:r>
    </w:p>
    <w:p w14:paraId="1B97A4EC" w14:textId="77777777" w:rsidR="000D0AF9" w:rsidRDefault="000D0AF9" w:rsidP="000D0AF9">
      <w:pPr>
        <w:numPr>
          <w:ilvl w:val="0"/>
          <w:numId w:val="1"/>
        </w:numPr>
      </w:pPr>
      <w:r w:rsidRPr="000D0AF9">
        <w:t>Menciona dos antihistamínicos H1 de uso frecuente en medicina veterinaria e indica la dosis estimada para un paciente canino de 22 kg.</w:t>
      </w:r>
    </w:p>
    <w:p w14:paraId="6B5E8898" w14:textId="77777777" w:rsidR="000D0AF9" w:rsidRDefault="000D0AF9" w:rsidP="000D0AF9">
      <w:pPr>
        <w:ind w:left="720"/>
      </w:pPr>
      <w:r w:rsidRPr="000D0AF9">
        <w:t>Difenhidramina (</w:t>
      </w:r>
      <w:proofErr w:type="spellStart"/>
      <w:r w:rsidRPr="000D0AF9">
        <w:t>Benadryl</w:t>
      </w:r>
      <w:proofErr w:type="spellEnd"/>
      <w:r w:rsidRPr="000D0AF9">
        <w:t>®):</w:t>
      </w:r>
    </w:p>
    <w:p w14:paraId="744B0F2D" w14:textId="434B4CBE" w:rsidR="000D0AF9" w:rsidRDefault="000D0AF9" w:rsidP="000D0AF9">
      <w:pPr>
        <w:ind w:left="720"/>
      </w:pPr>
      <w:r w:rsidRPr="000D0AF9">
        <w:t>Dosis en perros: 2-4 mg/kg por vía intramuscular (IM) o intravenosa (IV) para reacciones agudas, o por vía oral (VO) cada 8-12 horas.</w:t>
      </w:r>
    </w:p>
    <w:p w14:paraId="79C3950F" w14:textId="1044BE82" w:rsidR="000D0AF9" w:rsidRDefault="000D0AF9" w:rsidP="000D0AF9">
      <w:pPr>
        <w:ind w:left="720"/>
      </w:pPr>
      <w:r w:rsidRPr="000D0AF9">
        <w:t>Para un perro de 22 kg (dosis de 2 mg/kg): 44 mg.</w:t>
      </w:r>
    </w:p>
    <w:p w14:paraId="29645373" w14:textId="77777777" w:rsidR="000D0AF9" w:rsidRDefault="000D0AF9" w:rsidP="000D0AF9">
      <w:pPr>
        <w:ind w:left="720"/>
      </w:pPr>
      <w:r w:rsidRPr="000D0AF9">
        <w:t>Presentación común: Inyectable 50 mg/ml. Se administrarían aproximadamente 0.88 ml (44 mg / 50 mg/ml).</w:t>
      </w:r>
    </w:p>
    <w:p w14:paraId="7370C9A4" w14:textId="77777777" w:rsidR="000D0AF9" w:rsidRDefault="000D0AF9" w:rsidP="000D0AF9">
      <w:pPr>
        <w:ind w:left="720"/>
      </w:pPr>
      <w:proofErr w:type="spellStart"/>
      <w:r w:rsidRPr="000D0AF9">
        <w:t>Clorfeniramina</w:t>
      </w:r>
      <w:proofErr w:type="spellEnd"/>
      <w:r w:rsidRPr="000D0AF9">
        <w:t xml:space="preserve"> (Cloro-</w:t>
      </w:r>
      <w:proofErr w:type="spellStart"/>
      <w:r w:rsidRPr="000D0AF9">
        <w:t>Trimeton</w:t>
      </w:r>
      <w:proofErr w:type="spellEnd"/>
      <w:r w:rsidRPr="000D0AF9">
        <w:t>®):</w:t>
      </w:r>
    </w:p>
    <w:p w14:paraId="0F804FE5" w14:textId="3ACBE92B" w:rsidR="000D0AF9" w:rsidRDefault="000D0AF9" w:rsidP="000D0AF9">
      <w:pPr>
        <w:ind w:left="720"/>
      </w:pPr>
      <w:r w:rsidRPr="000D0AF9">
        <w:t>Dosis en perros: 0.2-0.4 mg/kg por vía intramuscular (IM) o intravenosa (IV) para reacciones agudas, o por vía oral (VO) cada 8-12 horas.</w:t>
      </w:r>
    </w:p>
    <w:p w14:paraId="576470E1" w14:textId="5A47D1B4" w:rsidR="000D0AF9" w:rsidRDefault="000D0AF9" w:rsidP="000D0AF9">
      <w:pPr>
        <w:ind w:left="720"/>
      </w:pPr>
      <w:r w:rsidRPr="000D0AF9">
        <w:t>Para un perro de 22 kg (dosis de 0.2 mg/kg): 4.4 mg.</w:t>
      </w:r>
    </w:p>
    <w:p w14:paraId="35DD136E" w14:textId="4B45FF6A" w:rsidR="000D0AF9" w:rsidRPr="000D0AF9" w:rsidRDefault="000D0AF9" w:rsidP="000D0AF9">
      <w:pPr>
        <w:ind w:left="720"/>
      </w:pPr>
      <w:r w:rsidRPr="000D0AF9">
        <w:t>Presentación común: Inyectable 10 mg/ml. Se administrarían aproximadamente 0.44 ml (4.4 mg / 10 mg/ml).</w:t>
      </w:r>
    </w:p>
    <w:p w14:paraId="3B0523DA" w14:textId="77777777" w:rsidR="000D0AF9" w:rsidRPr="000D0AF9" w:rsidRDefault="000D0AF9" w:rsidP="000D0AF9">
      <w:pPr>
        <w:ind w:left="720"/>
      </w:pPr>
    </w:p>
    <w:p w14:paraId="4EA0EB0D" w14:textId="77777777" w:rsidR="000D0AF9" w:rsidRDefault="000D0AF9" w:rsidP="000D0AF9">
      <w:pPr>
        <w:numPr>
          <w:ilvl w:val="0"/>
          <w:numId w:val="1"/>
        </w:numPr>
      </w:pPr>
      <w:r w:rsidRPr="000D0AF9">
        <w:t>¿Qué diferencia hay entre un antihistamínico H1 y uno H2?</w:t>
      </w:r>
    </w:p>
    <w:p w14:paraId="4D9D3C3B" w14:textId="77777777" w:rsidR="000D0AF9" w:rsidRPr="000D0AF9" w:rsidRDefault="000D0AF9" w:rsidP="000D0AF9">
      <w:pPr>
        <w:ind w:left="360"/>
      </w:pPr>
      <w:r w:rsidRPr="000D0AF9">
        <w:t>Antihistamínicos H1:</w:t>
      </w:r>
    </w:p>
    <w:p w14:paraId="241C703D" w14:textId="77777777" w:rsidR="000D0AF9" w:rsidRPr="000D0AF9" w:rsidRDefault="000D0AF9" w:rsidP="000D0AF9">
      <w:pPr>
        <w:ind w:left="1080"/>
      </w:pPr>
      <w:r w:rsidRPr="000D0AF9">
        <w:t>Receptor objetivo: Bloquean los receptores H1 de histamina.</w:t>
      </w:r>
    </w:p>
    <w:p w14:paraId="720A9A11" w14:textId="77777777" w:rsidR="000D0AF9" w:rsidRPr="000D0AF9" w:rsidRDefault="000D0AF9" w:rsidP="000D0AF9">
      <w:pPr>
        <w:ind w:left="1080"/>
      </w:pPr>
      <w:r w:rsidRPr="000D0AF9">
        <w:t>Efectos principales: Reducen la vasodilatación, la permeabilidad capilar (disminuyendo edema y urticaria), la broncoconstricción y el prurito. También tienen efectos sedantes (especialmente los de primera generación) y antieméticos.</w:t>
      </w:r>
    </w:p>
    <w:p w14:paraId="1BC56A13" w14:textId="77777777" w:rsidR="000D0AF9" w:rsidRPr="000D0AF9" w:rsidRDefault="000D0AF9" w:rsidP="000D0AF9">
      <w:pPr>
        <w:ind w:left="1080"/>
      </w:pPr>
      <w:r w:rsidRPr="000D0AF9">
        <w:t>Uso principal: Reacciones alérgicas (urticaria, prurito, edema), mareo por movimiento, sedación leve.</w:t>
      </w:r>
    </w:p>
    <w:p w14:paraId="22C2E7EE" w14:textId="77777777" w:rsidR="000D0AF9" w:rsidRDefault="000D0AF9" w:rsidP="000D0AF9">
      <w:pPr>
        <w:ind w:left="360"/>
      </w:pPr>
    </w:p>
    <w:p w14:paraId="33A9DF46" w14:textId="77777777" w:rsidR="000D0AF9" w:rsidRDefault="000D0AF9" w:rsidP="000D0AF9">
      <w:pPr>
        <w:ind w:left="360"/>
      </w:pPr>
    </w:p>
    <w:p w14:paraId="7F8323F4" w14:textId="2A485321" w:rsidR="000D0AF9" w:rsidRPr="000D0AF9" w:rsidRDefault="000D0AF9" w:rsidP="000D0AF9">
      <w:pPr>
        <w:ind w:left="360"/>
      </w:pPr>
      <w:r w:rsidRPr="000D0AF9">
        <w:lastRenderedPageBreak/>
        <w:t>Antihistamínicos H2:</w:t>
      </w:r>
    </w:p>
    <w:p w14:paraId="65074BAA" w14:textId="77777777" w:rsidR="000D0AF9" w:rsidRPr="000D0AF9" w:rsidRDefault="000D0AF9" w:rsidP="000D0AF9">
      <w:pPr>
        <w:ind w:left="1080"/>
      </w:pPr>
      <w:r w:rsidRPr="000D0AF9">
        <w:t>Receptor objetivo: Bloquean los receptores H2 de histamina.</w:t>
      </w:r>
    </w:p>
    <w:p w14:paraId="63EE94B1" w14:textId="77777777" w:rsidR="000D0AF9" w:rsidRPr="000D0AF9" w:rsidRDefault="000D0AF9" w:rsidP="000D0AF9">
      <w:pPr>
        <w:ind w:left="1080"/>
      </w:pPr>
      <w:r w:rsidRPr="000D0AF9">
        <w:t>Efectos principales: Reducen la secreción de ácido clorhídrico en el estómago. También pueden tener efectos menores en la modulación inmune y la función cardíaca.</w:t>
      </w:r>
    </w:p>
    <w:p w14:paraId="086C86B7" w14:textId="16E74272" w:rsidR="000D0AF9" w:rsidRPr="000D0AF9" w:rsidRDefault="000D0AF9" w:rsidP="000D0AF9">
      <w:pPr>
        <w:ind w:left="1080"/>
      </w:pPr>
      <w:r w:rsidRPr="000D0AF9">
        <w:t>Uso principal: Tratamiento y prevención de úlceras gástricas y duodenales, esofagitis por reflujo, gastritis y otras condiciones que cursan con hipersecreción ácida.</w:t>
      </w:r>
    </w:p>
    <w:p w14:paraId="0E662353" w14:textId="77777777" w:rsidR="000D0AF9" w:rsidRDefault="000D0AF9" w:rsidP="000D0AF9">
      <w:pPr>
        <w:numPr>
          <w:ilvl w:val="1"/>
          <w:numId w:val="1"/>
        </w:numPr>
      </w:pPr>
      <w:r w:rsidRPr="000D0AF9">
        <w:t>¿Cuál usarías en casos de gastritis inducida por estrés?</w:t>
      </w:r>
    </w:p>
    <w:p w14:paraId="5622D4D1" w14:textId="3E439B9B" w:rsidR="000D0AF9" w:rsidRPr="000D0AF9" w:rsidRDefault="000D0AF9" w:rsidP="000D0AF9">
      <w:pPr>
        <w:numPr>
          <w:ilvl w:val="1"/>
          <w:numId w:val="1"/>
        </w:numPr>
      </w:pPr>
      <w:r>
        <w:t>Utilizaría la</w:t>
      </w:r>
      <w:r w:rsidR="00D87A45">
        <w:t xml:space="preserve"> H2 porque la </w:t>
      </w:r>
      <w:r w:rsidR="00D87A45" w:rsidRPr="00D87A45">
        <w:t>gastritis implica una inflamación de la mucosa gástrica, a menudo exacerbada por un aumento en la secreción de ácido clorhídrico. Los receptores H2 en las células parietales del estómago son los principales mediadores de la secreción ácida estimulada por la histamina.</w:t>
      </w:r>
    </w:p>
    <w:p w14:paraId="7F65D335" w14:textId="77777777" w:rsidR="000D0AF9" w:rsidRDefault="000D0AF9" w:rsidP="000D0AF9">
      <w:pPr>
        <w:numPr>
          <w:ilvl w:val="0"/>
          <w:numId w:val="1"/>
        </w:numPr>
      </w:pPr>
      <w:r w:rsidRPr="000D0AF9">
        <w:t>¿Qué precauciones clínicas deben tenerse al usar antihistamínicos en animales geriátricos o con daño hepático?</w:t>
      </w:r>
    </w:p>
    <w:p w14:paraId="7D03A899" w14:textId="77777777" w:rsidR="00D87A45" w:rsidRPr="00D87A45" w:rsidRDefault="00D87A45" w:rsidP="00D87A45">
      <w:pPr>
        <w:ind w:left="720"/>
      </w:pPr>
      <w:r w:rsidRPr="00D87A45">
        <w:t>Animales Geriátricos:</w:t>
      </w:r>
    </w:p>
    <w:p w14:paraId="1067E4DB" w14:textId="77777777" w:rsidR="00D87A45" w:rsidRPr="00D87A45" w:rsidRDefault="00D87A45" w:rsidP="00D87A45">
      <w:pPr>
        <w:ind w:left="708"/>
      </w:pPr>
      <w:r w:rsidRPr="00D87A45">
        <w:t xml:space="preserve">Mayor Sensibilidad a la Sedación: Los antihistamínicos de primera generación (ej. difenhidramina, </w:t>
      </w:r>
      <w:proofErr w:type="spellStart"/>
      <w:r w:rsidRPr="00D87A45">
        <w:t>clorfeniramina</w:t>
      </w:r>
      <w:proofErr w:type="spellEnd"/>
      <w:r w:rsidRPr="00D87A45">
        <w:t>) pueden causar sedación significativa. Los animales geriátricos son más sensibles a estos efectos, lo que puede llevar a letargo, ataxia (falta de coordinación) o incluso desorientación. Se debe iniciar con la dosis más baja efectiva y monitorear de cerca.</w:t>
      </w:r>
    </w:p>
    <w:p w14:paraId="41C3B055" w14:textId="1B6D886E" w:rsidR="00D87A45" w:rsidRDefault="00D87A45" w:rsidP="00D87A45">
      <w:pPr>
        <w:ind w:left="708"/>
      </w:pPr>
      <w:r w:rsidRPr="00D87A45">
        <w:t>Metabolismo Reducido: La función hepática y renal puede estar disminuida, lo que prolonga la vida media del fármaco y aumenta el riesgo de acumulación y toxicidad.</w:t>
      </w:r>
    </w:p>
    <w:p w14:paraId="09C219CD" w14:textId="77777777" w:rsidR="00D87A45" w:rsidRPr="00D87A45" w:rsidRDefault="00D87A45" w:rsidP="00D87A45">
      <w:pPr>
        <w:ind w:left="708"/>
      </w:pPr>
      <w:r w:rsidRPr="00D87A45">
        <w:t>Animales con Daño Hepático:</w:t>
      </w:r>
    </w:p>
    <w:p w14:paraId="76647E9F" w14:textId="77777777" w:rsidR="00D87A45" w:rsidRPr="00D87A45" w:rsidRDefault="00D87A45" w:rsidP="00D87A45">
      <w:pPr>
        <w:ind w:left="708"/>
      </w:pPr>
      <w:r w:rsidRPr="00D87A45">
        <w:t>Metabolismo Alterado: La mayoría de los antihistamínicos se metabolizan en el hígado. Un hígado comprometido puede no metabolizar el fármaco de manera eficiente, lo que lleva a niveles sanguíneos más altos y prolongados, aumentando el riesgo de efectos adversos.</w:t>
      </w:r>
    </w:p>
    <w:p w14:paraId="085A9FF6" w14:textId="77777777" w:rsidR="00D87A45" w:rsidRPr="00D87A45" w:rsidRDefault="00D87A45" w:rsidP="00D87A45">
      <w:pPr>
        <w:ind w:left="708"/>
      </w:pPr>
      <w:r w:rsidRPr="00D87A45">
        <w:t>Acumulación y Toxicidad: La acumulación del fármaco o sus metabolitos puede exacerbar el daño hepático existente o causar toxicidad sistémica.</w:t>
      </w:r>
    </w:p>
    <w:p w14:paraId="27A67A89" w14:textId="77777777" w:rsidR="00D87A45" w:rsidRPr="000D0AF9" w:rsidRDefault="00D87A45" w:rsidP="00D87A45"/>
    <w:p w14:paraId="006490F8" w14:textId="77777777" w:rsidR="000D0AF9" w:rsidRDefault="000D0AF9" w:rsidP="000D0AF9">
      <w:pPr>
        <w:numPr>
          <w:ilvl w:val="0"/>
          <w:numId w:val="1"/>
        </w:numPr>
      </w:pPr>
      <w:r w:rsidRPr="000D0AF9">
        <w:t>¿Qué síntomas clínicos se controlan directamente con el antihistamínico y cuáles requieren otro tipo de fármaco (ej. corticoide)?</w:t>
      </w:r>
    </w:p>
    <w:p w14:paraId="4E681112" w14:textId="77777777" w:rsidR="00D87A45" w:rsidRPr="00D87A45" w:rsidRDefault="00D87A45" w:rsidP="00D87A45">
      <w:pPr>
        <w:ind w:left="720"/>
      </w:pPr>
      <w:r w:rsidRPr="00D87A45">
        <w:t>En el caso de una reacción de hipersensibilidad tipo I:</w:t>
      </w:r>
    </w:p>
    <w:p w14:paraId="0963C8F8" w14:textId="77777777" w:rsidR="00D87A45" w:rsidRPr="00D87A45" w:rsidRDefault="00D87A45" w:rsidP="00D87A45">
      <w:pPr>
        <w:ind w:left="360"/>
      </w:pPr>
      <w:r w:rsidRPr="00D87A45">
        <w:t>Síntomas controlados directamente con el Antihistamínico (H1):</w:t>
      </w:r>
    </w:p>
    <w:p w14:paraId="54217502" w14:textId="77777777" w:rsidR="00D87A45" w:rsidRPr="00D87A45" w:rsidRDefault="00D87A45" w:rsidP="00D87A45">
      <w:pPr>
        <w:ind w:left="1080"/>
      </w:pPr>
      <w:r w:rsidRPr="00D87A45">
        <w:lastRenderedPageBreak/>
        <w:t>Prurito intenso: La picazón es una respuesta directa a la histamina en las terminaciones nerviosas.</w:t>
      </w:r>
    </w:p>
    <w:p w14:paraId="2292C04B" w14:textId="77777777" w:rsidR="00D87A45" w:rsidRPr="00D87A45" w:rsidRDefault="00D87A45" w:rsidP="00D87A45">
      <w:pPr>
        <w:ind w:left="1080"/>
      </w:pPr>
      <w:r w:rsidRPr="00D87A45">
        <w:t>Urticaria (ronchas): Resultado de la vasodilatación y el aumento de la permeabilidad capilar en la piel.</w:t>
      </w:r>
    </w:p>
    <w:p w14:paraId="72E7CCAB" w14:textId="77777777" w:rsidR="00D87A45" w:rsidRPr="00D87A45" w:rsidRDefault="00D87A45" w:rsidP="00D87A45">
      <w:pPr>
        <w:ind w:left="1080"/>
      </w:pPr>
      <w:r w:rsidRPr="00D87A45">
        <w:t>Edema facial: Acumulación de líquido debido al aumento de la permeabilidad vascular.</w:t>
      </w:r>
    </w:p>
    <w:p w14:paraId="41A3AAA4" w14:textId="77777777" w:rsidR="00D87A45" w:rsidRPr="00D87A45" w:rsidRDefault="00D87A45" w:rsidP="00D87A45">
      <w:pPr>
        <w:ind w:left="1080"/>
      </w:pPr>
      <w:r w:rsidRPr="00D87A45">
        <w:t>Enrojecimiento de las orejas: Vasodilatación local.</w:t>
      </w:r>
    </w:p>
    <w:p w14:paraId="3ED62C6C" w14:textId="77777777" w:rsidR="00D87A45" w:rsidRPr="00D87A45" w:rsidRDefault="00D87A45" w:rsidP="00D87A45">
      <w:pPr>
        <w:ind w:left="1080"/>
      </w:pPr>
      <w:r w:rsidRPr="00D87A45">
        <w:t>Salivación excesiva: Puede ser parcialmente mediada por la histamina.</w:t>
      </w:r>
    </w:p>
    <w:p w14:paraId="0C63C5FC" w14:textId="77777777" w:rsidR="00D87A45" w:rsidRPr="000D0AF9" w:rsidRDefault="00D87A45" w:rsidP="00D87A45">
      <w:pPr>
        <w:ind w:left="720"/>
      </w:pPr>
    </w:p>
    <w:p w14:paraId="2D1A1F2F" w14:textId="77777777" w:rsidR="000D0AF9" w:rsidRDefault="000D0AF9" w:rsidP="000D0AF9">
      <w:pPr>
        <w:numPr>
          <w:ilvl w:val="0"/>
          <w:numId w:val="1"/>
        </w:numPr>
      </w:pPr>
      <w:r w:rsidRPr="000D0AF9">
        <w:t>Redacta una receta simulada para este caso (nombre comercial, principio activo, vía de administración, frecuencia y duración).</w:t>
      </w:r>
    </w:p>
    <w:p w14:paraId="5B48D028" w14:textId="77777777" w:rsidR="00B924D2" w:rsidRPr="00B924D2" w:rsidRDefault="00B924D2" w:rsidP="00B924D2">
      <w:pPr>
        <w:ind w:left="1080"/>
      </w:pPr>
      <w:r w:rsidRPr="00B924D2">
        <w:t>Fecha: 3 de Julio de 2025</w:t>
      </w:r>
    </w:p>
    <w:p w14:paraId="13667017" w14:textId="0A598417" w:rsidR="00B924D2" w:rsidRPr="00B924D2" w:rsidRDefault="00B924D2" w:rsidP="00B924D2">
      <w:pPr>
        <w:ind w:left="1080"/>
      </w:pPr>
      <w:r w:rsidRPr="00B924D2">
        <w:t xml:space="preserve">Propietario: Sr./Sra. </w:t>
      </w:r>
      <w:r>
        <w:t xml:space="preserve">Dolores Morales </w:t>
      </w:r>
      <w:proofErr w:type="spellStart"/>
      <w:proofErr w:type="gramStart"/>
      <w:r>
        <w:t>Zunún</w:t>
      </w:r>
      <w:proofErr w:type="spellEnd"/>
      <w:r>
        <w:t xml:space="preserve"> </w:t>
      </w:r>
      <w:r w:rsidRPr="00B924D2">
        <w:t xml:space="preserve"> Dirección</w:t>
      </w:r>
      <w:proofErr w:type="gramEnd"/>
      <w:r w:rsidRPr="00B924D2">
        <w:t xml:space="preserve">: </w:t>
      </w:r>
      <w:r>
        <w:t xml:space="preserve">El cedro </w:t>
      </w:r>
      <w:r w:rsidRPr="00B924D2">
        <w:t xml:space="preserve">Teléfono: </w:t>
      </w:r>
      <w:r>
        <w:t>123456789</w:t>
      </w:r>
    </w:p>
    <w:p w14:paraId="5BE6E8DD" w14:textId="2DDB3320" w:rsidR="00B924D2" w:rsidRPr="00B924D2" w:rsidRDefault="00B924D2" w:rsidP="00B924D2">
      <w:pPr>
        <w:ind w:left="1080"/>
      </w:pPr>
      <w:r w:rsidRPr="00B924D2">
        <w:t>Paciente: Canino Nombre:</w:t>
      </w:r>
      <w:r>
        <w:t xml:space="preserve"> </w:t>
      </w:r>
      <w:proofErr w:type="spellStart"/>
      <w:r>
        <w:t>Tobi</w:t>
      </w:r>
      <w:proofErr w:type="spellEnd"/>
      <w:r>
        <w:t xml:space="preserve"> </w:t>
      </w:r>
      <w:r w:rsidRPr="00B924D2">
        <w:t>Raza: Mestizo Sexo: Macho Edad: 5 años Peso: 22 kg</w:t>
      </w:r>
    </w:p>
    <w:p w14:paraId="44803D34" w14:textId="733CEE2B" w:rsidR="00B924D2" w:rsidRPr="00B924D2" w:rsidRDefault="00B924D2" w:rsidP="00B924D2">
      <w:pPr>
        <w:ind w:left="1080"/>
      </w:pPr>
      <w:proofErr w:type="spellStart"/>
      <w:r>
        <w:t>tx</w:t>
      </w:r>
      <w:proofErr w:type="spellEnd"/>
      <w:r w:rsidRPr="00B924D2">
        <w:t>:</w:t>
      </w:r>
    </w:p>
    <w:p w14:paraId="06B8C258" w14:textId="77777777" w:rsidR="00B924D2" w:rsidRPr="00B924D2" w:rsidRDefault="00B924D2" w:rsidP="00B924D2">
      <w:pPr>
        <w:ind w:left="360"/>
      </w:pPr>
      <w:r w:rsidRPr="00B924D2">
        <w:t xml:space="preserve">Nombre Comercial: </w:t>
      </w:r>
      <w:proofErr w:type="spellStart"/>
      <w:r w:rsidRPr="00B924D2">
        <w:t>Benadryl</w:t>
      </w:r>
      <w:proofErr w:type="spellEnd"/>
      <w:r w:rsidRPr="00B924D2">
        <w:t>® Inyectable</w:t>
      </w:r>
    </w:p>
    <w:p w14:paraId="79046443" w14:textId="77777777" w:rsidR="00B924D2" w:rsidRPr="00B924D2" w:rsidRDefault="00B924D2" w:rsidP="00B924D2">
      <w:pPr>
        <w:ind w:left="1080"/>
      </w:pPr>
      <w:r w:rsidRPr="00B924D2">
        <w:t>Principio Activo: Difenhidramina Clorhidrato</w:t>
      </w:r>
    </w:p>
    <w:p w14:paraId="38874451" w14:textId="77777777" w:rsidR="00B924D2" w:rsidRPr="00B924D2" w:rsidRDefault="00B924D2" w:rsidP="00B924D2">
      <w:pPr>
        <w:ind w:left="1080"/>
      </w:pPr>
      <w:r w:rsidRPr="00B924D2">
        <w:t>Concentración: 50 mg/ml</w:t>
      </w:r>
    </w:p>
    <w:p w14:paraId="3854B982" w14:textId="77777777" w:rsidR="00B924D2" w:rsidRPr="00B924D2" w:rsidRDefault="00B924D2" w:rsidP="00B924D2">
      <w:pPr>
        <w:ind w:left="1080"/>
      </w:pPr>
      <w:r w:rsidRPr="00B924D2">
        <w:t>Dosis: 2 mg/kg</w:t>
      </w:r>
    </w:p>
    <w:p w14:paraId="255D8127" w14:textId="7D0B85D0" w:rsidR="00B924D2" w:rsidRPr="00B924D2" w:rsidRDefault="00B924D2" w:rsidP="00B924D2">
      <w:pPr>
        <w:ind w:left="1080"/>
      </w:pPr>
      <w:r w:rsidRPr="00B924D2">
        <w:t>Cantidad por administrar</w:t>
      </w:r>
      <w:r w:rsidRPr="00B924D2">
        <w:t>: 0.88 ml (44 mg)</w:t>
      </w:r>
    </w:p>
    <w:p w14:paraId="0F306F3E" w14:textId="77777777" w:rsidR="00B924D2" w:rsidRPr="00B924D2" w:rsidRDefault="00B924D2" w:rsidP="00B924D2">
      <w:pPr>
        <w:ind w:left="1080"/>
      </w:pPr>
      <w:r w:rsidRPr="00B924D2">
        <w:t>Vía de Administración: Intramuscular (IM)</w:t>
      </w:r>
    </w:p>
    <w:p w14:paraId="5028483B" w14:textId="77777777" w:rsidR="00B924D2" w:rsidRPr="00B924D2" w:rsidRDefault="00B924D2" w:rsidP="00B924D2">
      <w:pPr>
        <w:ind w:left="1080"/>
      </w:pPr>
      <w:r w:rsidRPr="00B924D2">
        <w:t>Frecuencia: Dosis única inicial en clínica. Si se requiere continuar en casa, se puede prescribir oralmente.</w:t>
      </w:r>
    </w:p>
    <w:p w14:paraId="3467EDCE" w14:textId="77777777" w:rsidR="00B924D2" w:rsidRPr="00B924D2" w:rsidRDefault="00B924D2" w:rsidP="00B924D2">
      <w:pPr>
        <w:ind w:left="360"/>
      </w:pPr>
      <w:r w:rsidRPr="00B924D2">
        <w:t>Nombre Comercial: Dexametasona Fosfato Sódico Inyectable</w:t>
      </w:r>
    </w:p>
    <w:p w14:paraId="121AC0AB" w14:textId="77777777" w:rsidR="00B924D2" w:rsidRPr="00B924D2" w:rsidRDefault="00B924D2" w:rsidP="00B924D2">
      <w:pPr>
        <w:ind w:left="1080"/>
      </w:pPr>
      <w:r w:rsidRPr="00B924D2">
        <w:t>Principio Activo: Dexametasona Fosfato Sódico</w:t>
      </w:r>
    </w:p>
    <w:p w14:paraId="275E28E1" w14:textId="77777777" w:rsidR="00B924D2" w:rsidRPr="00B924D2" w:rsidRDefault="00B924D2" w:rsidP="00B924D2">
      <w:pPr>
        <w:ind w:left="1080"/>
      </w:pPr>
      <w:r w:rsidRPr="00B924D2">
        <w:t>Concentración: 2 mg/ml (o la disponible en clínica)</w:t>
      </w:r>
    </w:p>
    <w:p w14:paraId="62530186" w14:textId="77777777" w:rsidR="00B924D2" w:rsidRPr="00B924D2" w:rsidRDefault="00B924D2" w:rsidP="00B924D2">
      <w:pPr>
        <w:ind w:left="1080"/>
      </w:pPr>
      <w:r w:rsidRPr="00B924D2">
        <w:t>Dosis: 0.25 - 0.5 mg/kg (dosis antiinflamatoria/antialérgica)</w:t>
      </w:r>
    </w:p>
    <w:p w14:paraId="256E5DF4" w14:textId="77777777" w:rsidR="00B924D2" w:rsidRPr="00B924D2" w:rsidRDefault="00B924D2" w:rsidP="00B924D2">
      <w:pPr>
        <w:ind w:left="1080"/>
      </w:pPr>
      <w:proofErr w:type="gramStart"/>
      <w:r w:rsidRPr="00B924D2">
        <w:t>Cantidad a administrar</w:t>
      </w:r>
      <w:proofErr w:type="gramEnd"/>
      <w:r w:rsidRPr="00B924D2">
        <w:t xml:space="preserve"> (ej. 0.5 mg/kg): 22 kg * 0.5 mg/kg = 11 mg. Si la concentración es 2 mg/ml, se administrarían 5.5 ml.</w:t>
      </w:r>
    </w:p>
    <w:p w14:paraId="16171F2D" w14:textId="77777777" w:rsidR="00B924D2" w:rsidRPr="00B924D2" w:rsidRDefault="00B924D2" w:rsidP="00B924D2">
      <w:pPr>
        <w:ind w:left="1080"/>
      </w:pPr>
      <w:r w:rsidRPr="00B924D2">
        <w:t>Vía de Administración: Intramuscular (IM) o Intravenosa (IV)</w:t>
      </w:r>
    </w:p>
    <w:p w14:paraId="1013CA68" w14:textId="77777777" w:rsidR="00B924D2" w:rsidRPr="00B924D2" w:rsidRDefault="00B924D2" w:rsidP="00B924D2">
      <w:pPr>
        <w:ind w:left="1080"/>
      </w:pPr>
      <w:r w:rsidRPr="00B924D2">
        <w:lastRenderedPageBreak/>
        <w:t>Frecuencia: Dosis única inicial en clínica.</w:t>
      </w:r>
    </w:p>
    <w:p w14:paraId="6248AF14" w14:textId="77777777" w:rsidR="00B924D2" w:rsidRPr="00B924D2" w:rsidRDefault="00B924D2" w:rsidP="00B924D2">
      <w:pPr>
        <w:ind w:left="1080"/>
      </w:pPr>
      <w:r w:rsidRPr="00B924D2">
        <w:t>Instrucciones Adicionales para el Propietario (manejo en casa):</w:t>
      </w:r>
    </w:p>
    <w:p w14:paraId="19716E0E" w14:textId="77777777" w:rsidR="00B924D2" w:rsidRPr="00B924D2" w:rsidRDefault="00B924D2" w:rsidP="00B924D2">
      <w:pPr>
        <w:ind w:left="360"/>
      </w:pPr>
      <w:r w:rsidRPr="00B924D2">
        <w:t>Observación: Monitorear de cerca al paciente durante las próximas 24-48 horas para detectar cualquier recurrencia o empeoramiento de los síntomas (edema, prurito, dificultad respiratoria, vómito).</w:t>
      </w:r>
    </w:p>
    <w:p w14:paraId="2F97D61F" w14:textId="77777777" w:rsidR="00B924D2" w:rsidRPr="00B924D2" w:rsidRDefault="00B924D2" w:rsidP="00B924D2">
      <w:pPr>
        <w:ind w:left="360"/>
      </w:pPr>
      <w:r w:rsidRPr="00B924D2">
        <w:t>Reposo: Mantener al perro en un ambiente tranquilo y fresco.</w:t>
      </w:r>
    </w:p>
    <w:p w14:paraId="6EFE1E3A" w14:textId="77777777" w:rsidR="00B924D2" w:rsidRPr="00B924D2" w:rsidRDefault="00B924D2" w:rsidP="00B924D2">
      <w:pPr>
        <w:ind w:left="360"/>
      </w:pPr>
      <w:r w:rsidRPr="00B924D2">
        <w:t>Alimento y Agua: Ofrecer agua fresca a voluntad. Si el vómito ha cesado, ofrecer una pequeña cantidad de alimento blando y de fácil digestión (ej. pollo hervido con arroz) unas horas después.</w:t>
      </w:r>
    </w:p>
    <w:p w14:paraId="25DA9567" w14:textId="77777777" w:rsidR="00B924D2" w:rsidRPr="00B924D2" w:rsidRDefault="00B924D2" w:rsidP="00B924D2">
      <w:pPr>
        <w:ind w:left="360"/>
      </w:pPr>
      <w:r w:rsidRPr="00B924D2">
        <w:t>Contacto Veterinario: En caso de cualquier síntoma preocupante, contactar a la clínica de inmediato.</w:t>
      </w:r>
    </w:p>
    <w:p w14:paraId="5209F375" w14:textId="77777777" w:rsidR="00B924D2" w:rsidRPr="000D0AF9" w:rsidRDefault="00B924D2" w:rsidP="00B924D2">
      <w:pPr>
        <w:ind w:left="720"/>
      </w:pPr>
    </w:p>
    <w:p w14:paraId="5E2B248B" w14:textId="77777777" w:rsidR="000D0AF9" w:rsidRDefault="000D0AF9" w:rsidP="000D0AF9">
      <w:pPr>
        <w:numPr>
          <w:ilvl w:val="0"/>
          <w:numId w:val="1"/>
        </w:numPr>
      </w:pPr>
      <w:r w:rsidRPr="000D0AF9">
        <w:t>¿Qué medidas preventivas podrías recomendar al propietario en futuras aplicaciones de vacunas?</w:t>
      </w:r>
    </w:p>
    <w:p w14:paraId="4D469DD5" w14:textId="77777777" w:rsidR="00B924D2" w:rsidRPr="00B924D2" w:rsidRDefault="00B924D2" w:rsidP="00B924D2">
      <w:pPr>
        <w:ind w:left="720"/>
      </w:pPr>
      <w:r w:rsidRPr="00B924D2">
        <w:t>Para futuras aplicaciones de vacunas, se pueden recomendar las siguientes medidas preventivas al propietario, buscando reducir el riesgo o la severidad de otra reacción:</w:t>
      </w:r>
    </w:p>
    <w:p w14:paraId="2921E30D" w14:textId="77777777" w:rsidR="00B924D2" w:rsidRPr="00B924D2" w:rsidRDefault="00B924D2" w:rsidP="00B924D2">
      <w:pPr>
        <w:ind w:left="1080"/>
      </w:pPr>
      <w:proofErr w:type="spellStart"/>
      <w:r w:rsidRPr="00B924D2">
        <w:t>Pre-medicación</w:t>
      </w:r>
      <w:proofErr w:type="spellEnd"/>
      <w:r w:rsidRPr="00B924D2">
        <w:t xml:space="preserve"> con Antihistamínicos:</w:t>
      </w:r>
    </w:p>
    <w:p w14:paraId="14102811" w14:textId="77777777" w:rsidR="00B924D2" w:rsidRPr="00B924D2" w:rsidRDefault="00B924D2" w:rsidP="00B924D2">
      <w:pPr>
        <w:ind w:left="1080"/>
      </w:pPr>
      <w:r w:rsidRPr="00B924D2">
        <w:t xml:space="preserve">Administrar un antihistamínico H1 (ej. difenhidramina o </w:t>
      </w:r>
      <w:proofErr w:type="spellStart"/>
      <w:r w:rsidRPr="00B924D2">
        <w:t>clorfeniramina</w:t>
      </w:r>
      <w:proofErr w:type="spellEnd"/>
      <w:r w:rsidRPr="00B924D2">
        <w:t>) por vía oral 30-60 minutos antes de la vacunación. Esto puede ayudar a bloquear los receptores de histamina antes de la liberación masiva, atenuando la reacción. La dosis y el fármaco específico deben ser indicados por el veterinario.</w:t>
      </w:r>
    </w:p>
    <w:p w14:paraId="6CF39A83" w14:textId="77777777" w:rsidR="00B924D2" w:rsidRPr="000D0AF9" w:rsidRDefault="00B924D2" w:rsidP="00B924D2">
      <w:pPr>
        <w:ind w:left="720"/>
      </w:pPr>
    </w:p>
    <w:p w14:paraId="667DEE41" w14:textId="77777777" w:rsidR="00916B0E" w:rsidRDefault="00916B0E"/>
    <w:sectPr w:rsidR="00916B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45288"/>
    <w:multiLevelType w:val="multilevel"/>
    <w:tmpl w:val="000E8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A4C9D"/>
    <w:multiLevelType w:val="multilevel"/>
    <w:tmpl w:val="AE0A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B0A0F"/>
    <w:multiLevelType w:val="multilevel"/>
    <w:tmpl w:val="2EFCF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201B9"/>
    <w:multiLevelType w:val="hybridMultilevel"/>
    <w:tmpl w:val="83D639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430540"/>
    <w:multiLevelType w:val="hybridMultilevel"/>
    <w:tmpl w:val="3B407F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AF710C5"/>
    <w:multiLevelType w:val="multilevel"/>
    <w:tmpl w:val="FAA2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D658EE"/>
    <w:multiLevelType w:val="multilevel"/>
    <w:tmpl w:val="CCD0D3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97519B"/>
    <w:multiLevelType w:val="hybridMultilevel"/>
    <w:tmpl w:val="BF884FC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9A07978"/>
    <w:multiLevelType w:val="hybridMultilevel"/>
    <w:tmpl w:val="7778C8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9F3555B"/>
    <w:multiLevelType w:val="hybridMultilevel"/>
    <w:tmpl w:val="B40A6A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D9D611B"/>
    <w:multiLevelType w:val="hybridMultilevel"/>
    <w:tmpl w:val="43BCD7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DBC1870"/>
    <w:multiLevelType w:val="hybridMultilevel"/>
    <w:tmpl w:val="86140F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2C64FC1"/>
    <w:multiLevelType w:val="hybridMultilevel"/>
    <w:tmpl w:val="EBA826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4A63CF1"/>
    <w:multiLevelType w:val="multilevel"/>
    <w:tmpl w:val="4B14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EB5A75"/>
    <w:multiLevelType w:val="multilevel"/>
    <w:tmpl w:val="1D4EB6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ED4621"/>
    <w:multiLevelType w:val="multilevel"/>
    <w:tmpl w:val="65944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6E2D00"/>
    <w:multiLevelType w:val="multilevel"/>
    <w:tmpl w:val="4D005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E2129A"/>
    <w:multiLevelType w:val="multilevel"/>
    <w:tmpl w:val="BB66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9C7975"/>
    <w:multiLevelType w:val="hybridMultilevel"/>
    <w:tmpl w:val="8DFA2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57E2FCF"/>
    <w:multiLevelType w:val="multilevel"/>
    <w:tmpl w:val="85FED6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234B15"/>
    <w:multiLevelType w:val="multilevel"/>
    <w:tmpl w:val="6110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5011796">
    <w:abstractNumId w:val="6"/>
  </w:num>
  <w:num w:numId="2" w16cid:durableId="862091689">
    <w:abstractNumId w:val="2"/>
  </w:num>
  <w:num w:numId="3" w16cid:durableId="1192643663">
    <w:abstractNumId w:val="5"/>
  </w:num>
  <w:num w:numId="4" w16cid:durableId="1794325635">
    <w:abstractNumId w:val="8"/>
  </w:num>
  <w:num w:numId="5" w16cid:durableId="585964905">
    <w:abstractNumId w:val="17"/>
  </w:num>
  <w:num w:numId="6" w16cid:durableId="835650577">
    <w:abstractNumId w:val="20"/>
  </w:num>
  <w:num w:numId="7" w16cid:durableId="1631083625">
    <w:abstractNumId w:val="18"/>
  </w:num>
  <w:num w:numId="8" w16cid:durableId="131602598">
    <w:abstractNumId w:val="16"/>
  </w:num>
  <w:num w:numId="9" w16cid:durableId="1802110494">
    <w:abstractNumId w:val="12"/>
  </w:num>
  <w:num w:numId="10" w16cid:durableId="1332444499">
    <w:abstractNumId w:val="7"/>
  </w:num>
  <w:num w:numId="11" w16cid:durableId="1077704174">
    <w:abstractNumId w:val="1"/>
  </w:num>
  <w:num w:numId="12" w16cid:durableId="1551334525">
    <w:abstractNumId w:val="4"/>
  </w:num>
  <w:num w:numId="13" w16cid:durableId="1506747450">
    <w:abstractNumId w:val="15"/>
  </w:num>
  <w:num w:numId="14" w16cid:durableId="221251958">
    <w:abstractNumId w:val="3"/>
  </w:num>
  <w:num w:numId="15" w16cid:durableId="392968927">
    <w:abstractNumId w:val="0"/>
  </w:num>
  <w:num w:numId="16" w16cid:durableId="1924947214">
    <w:abstractNumId w:val="11"/>
  </w:num>
  <w:num w:numId="17" w16cid:durableId="1794861865">
    <w:abstractNumId w:val="19"/>
  </w:num>
  <w:num w:numId="18" w16cid:durableId="898785524">
    <w:abstractNumId w:val="13"/>
  </w:num>
  <w:num w:numId="19" w16cid:durableId="1916042643">
    <w:abstractNumId w:val="10"/>
  </w:num>
  <w:num w:numId="20" w16cid:durableId="379212327">
    <w:abstractNumId w:val="14"/>
  </w:num>
  <w:num w:numId="21" w16cid:durableId="14882841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AF9"/>
    <w:rsid w:val="00036C2A"/>
    <w:rsid w:val="000D0863"/>
    <w:rsid w:val="000D0AF9"/>
    <w:rsid w:val="00162090"/>
    <w:rsid w:val="00916B0E"/>
    <w:rsid w:val="009E475D"/>
    <w:rsid w:val="00A04614"/>
    <w:rsid w:val="00B80B56"/>
    <w:rsid w:val="00B924D2"/>
    <w:rsid w:val="00D87A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D4DDF"/>
  <w15:chartTrackingRefBased/>
  <w15:docId w15:val="{B8A4C8E2-3DE2-494D-9030-F450C73E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D0A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D0A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D0AF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D0AF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D0AF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D0AF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D0AF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D0AF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D0AF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D0AF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D0AF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D0AF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D0AF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D0AF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D0AF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D0AF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D0AF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D0AF9"/>
    <w:rPr>
      <w:rFonts w:eastAsiaTheme="majorEastAsia" w:cstheme="majorBidi"/>
      <w:color w:val="272727" w:themeColor="text1" w:themeTint="D8"/>
    </w:rPr>
  </w:style>
  <w:style w:type="paragraph" w:styleId="Ttulo">
    <w:name w:val="Title"/>
    <w:basedOn w:val="Normal"/>
    <w:next w:val="Normal"/>
    <w:link w:val="TtuloCar"/>
    <w:uiPriority w:val="10"/>
    <w:qFormat/>
    <w:rsid w:val="000D0A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D0AF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D0AF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D0AF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D0AF9"/>
    <w:pPr>
      <w:spacing w:before="160"/>
      <w:jc w:val="center"/>
    </w:pPr>
    <w:rPr>
      <w:i/>
      <w:iCs/>
      <w:color w:val="404040" w:themeColor="text1" w:themeTint="BF"/>
    </w:rPr>
  </w:style>
  <w:style w:type="character" w:customStyle="1" w:styleId="CitaCar">
    <w:name w:val="Cita Car"/>
    <w:basedOn w:val="Fuentedeprrafopredeter"/>
    <w:link w:val="Cita"/>
    <w:uiPriority w:val="29"/>
    <w:rsid w:val="000D0AF9"/>
    <w:rPr>
      <w:i/>
      <w:iCs/>
      <w:color w:val="404040" w:themeColor="text1" w:themeTint="BF"/>
    </w:rPr>
  </w:style>
  <w:style w:type="paragraph" w:styleId="Prrafodelista">
    <w:name w:val="List Paragraph"/>
    <w:basedOn w:val="Normal"/>
    <w:uiPriority w:val="34"/>
    <w:qFormat/>
    <w:rsid w:val="000D0AF9"/>
    <w:pPr>
      <w:ind w:left="720"/>
      <w:contextualSpacing/>
    </w:pPr>
  </w:style>
  <w:style w:type="character" w:styleId="nfasisintenso">
    <w:name w:val="Intense Emphasis"/>
    <w:basedOn w:val="Fuentedeprrafopredeter"/>
    <w:uiPriority w:val="21"/>
    <w:qFormat/>
    <w:rsid w:val="000D0AF9"/>
    <w:rPr>
      <w:i/>
      <w:iCs/>
      <w:color w:val="0F4761" w:themeColor="accent1" w:themeShade="BF"/>
    </w:rPr>
  </w:style>
  <w:style w:type="paragraph" w:styleId="Citadestacada">
    <w:name w:val="Intense Quote"/>
    <w:basedOn w:val="Normal"/>
    <w:next w:val="Normal"/>
    <w:link w:val="CitadestacadaCar"/>
    <w:uiPriority w:val="30"/>
    <w:qFormat/>
    <w:rsid w:val="000D0A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D0AF9"/>
    <w:rPr>
      <w:i/>
      <w:iCs/>
      <w:color w:val="0F4761" w:themeColor="accent1" w:themeShade="BF"/>
    </w:rPr>
  </w:style>
  <w:style w:type="character" w:styleId="Referenciaintensa">
    <w:name w:val="Intense Reference"/>
    <w:basedOn w:val="Fuentedeprrafopredeter"/>
    <w:uiPriority w:val="32"/>
    <w:qFormat/>
    <w:rsid w:val="000D0A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712</TotalTime>
  <Pages>5</Pages>
  <Words>1019</Words>
  <Characters>5605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Eduin Jesús Pérez Pérez</dc:creator>
  <cp:keywords/>
  <dc:description/>
  <cp:lastModifiedBy>Eduin Jesús Pérez Pérez</cp:lastModifiedBy>
  <cp:revision>1</cp:revision>
  <dcterms:created xsi:type="dcterms:W3CDTF">2025-07-26T00:39:00Z</dcterms:created>
  <dcterms:modified xsi:type="dcterms:W3CDTF">2025-07-26T12:32:00Z</dcterms:modified>
</cp:coreProperties>
</file>