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pPr w:leftFromText="141" w:rightFromText="141" w:vertAnchor="page" w:horzAnchor="margin" w:tblpXSpec="center" w:tblpY="2146"/>
        <w:tblW w:w="7346" w:type="dxa"/>
        <w:tblLook w:val="04A0" w:firstRow="1" w:lastRow="0" w:firstColumn="1" w:lastColumn="0" w:noHBand="0" w:noVBand="1"/>
      </w:tblPr>
      <w:tblGrid>
        <w:gridCol w:w="2361"/>
        <w:gridCol w:w="2510"/>
        <w:gridCol w:w="2475"/>
      </w:tblGrid>
      <w:tr w:rsidR="00AD6AB4" w:rsidRPr="00555A7B" w14:paraId="0C1D4617" w14:textId="77777777" w:rsidTr="008F26C1">
        <w:trPr>
          <w:trHeight w:val="1729"/>
        </w:trPr>
        <w:tc>
          <w:tcPr>
            <w:tcW w:w="2361" w:type="dxa"/>
            <w:shd w:val="clear" w:color="auto" w:fill="909EE6"/>
          </w:tcPr>
          <w:p w14:paraId="23421FFC" w14:textId="77777777" w:rsidR="00AD6AB4" w:rsidRPr="00D21F74" w:rsidRDefault="00AD6AB4" w:rsidP="008F26C1">
            <w:pPr>
              <w:rPr>
                <w:rFonts w:ascii="Arial" w:hAnsi="Arial" w:cs="Arial"/>
                <w:sz w:val="28"/>
                <w:szCs w:val="28"/>
              </w:rPr>
            </w:pPr>
            <w:r w:rsidRPr="00D21F74">
              <w:rPr>
                <w:rFonts w:ascii="Arial" w:hAnsi="Arial" w:cs="Arial"/>
                <w:sz w:val="28"/>
                <w:szCs w:val="28"/>
              </w:rPr>
              <w:t>Municipio</w:t>
            </w:r>
          </w:p>
        </w:tc>
        <w:tc>
          <w:tcPr>
            <w:tcW w:w="2510" w:type="dxa"/>
            <w:shd w:val="clear" w:color="auto" w:fill="FFFF00"/>
          </w:tcPr>
          <w:p w14:paraId="3AD1BC6C" w14:textId="77777777" w:rsidR="00AD6AB4" w:rsidRPr="00CA5772" w:rsidRDefault="00AD6AB4" w:rsidP="008F26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Casos reportados </w:t>
            </w:r>
          </w:p>
        </w:tc>
        <w:tc>
          <w:tcPr>
            <w:tcW w:w="2475" w:type="dxa"/>
            <w:shd w:val="clear" w:color="auto" w:fill="76E3FF"/>
          </w:tcPr>
          <w:p w14:paraId="1B3645B7" w14:textId="77777777" w:rsidR="00AD6AB4" w:rsidRPr="00555A7B" w:rsidRDefault="00AD6AB4" w:rsidP="008F26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Observaciones </w:t>
            </w:r>
          </w:p>
        </w:tc>
      </w:tr>
      <w:tr w:rsidR="00AD6AB4" w:rsidRPr="00555A7B" w14:paraId="212917C7" w14:textId="77777777" w:rsidTr="008F26C1">
        <w:trPr>
          <w:trHeight w:val="1729"/>
        </w:trPr>
        <w:tc>
          <w:tcPr>
            <w:tcW w:w="2361" w:type="dxa"/>
          </w:tcPr>
          <w:p w14:paraId="5A169434" w14:textId="77777777" w:rsidR="00AD6AB4" w:rsidRPr="00CA5772" w:rsidRDefault="00AD6AB4" w:rsidP="008F26C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8"/>
                <w:szCs w:val="28"/>
              </w:rPr>
              <w:t>Acacoyagua</w:t>
            </w:r>
            <w:proofErr w:type="spellEnd"/>
          </w:p>
        </w:tc>
        <w:tc>
          <w:tcPr>
            <w:tcW w:w="2510" w:type="dxa"/>
          </w:tcPr>
          <w:p w14:paraId="2F408368" w14:textId="77777777" w:rsidR="00AD6AB4" w:rsidRPr="00CA5772" w:rsidRDefault="00AD6AB4" w:rsidP="008F26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75" w:type="dxa"/>
          </w:tcPr>
          <w:p w14:paraId="58FDF190" w14:textId="77777777" w:rsidR="00AD6AB4" w:rsidRPr="00555A7B" w:rsidRDefault="00AD6AB4" w:rsidP="008F26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Femenina de 77 años de edad, la infestación se dio a través de una herida en la cabeza.</w:t>
            </w:r>
          </w:p>
        </w:tc>
      </w:tr>
      <w:tr w:rsidR="00AD6AB4" w:rsidRPr="00555A7B" w14:paraId="3437697F" w14:textId="77777777" w:rsidTr="008F26C1">
        <w:trPr>
          <w:trHeight w:val="1729"/>
        </w:trPr>
        <w:tc>
          <w:tcPr>
            <w:tcW w:w="2361" w:type="dxa"/>
          </w:tcPr>
          <w:p w14:paraId="4081E770" w14:textId="77777777" w:rsidR="00AD6AB4" w:rsidRDefault="00AD6AB4" w:rsidP="008F26C1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Tizatlán</w:t>
            </w:r>
          </w:p>
        </w:tc>
        <w:tc>
          <w:tcPr>
            <w:tcW w:w="2510" w:type="dxa"/>
          </w:tcPr>
          <w:p w14:paraId="52988BBA" w14:textId="77777777" w:rsidR="00AD6AB4" w:rsidRPr="00CA5772" w:rsidRDefault="00AD6AB4" w:rsidP="008F26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475" w:type="dxa"/>
          </w:tcPr>
          <w:p w14:paraId="413548D2" w14:textId="77777777" w:rsidR="00AD6AB4" w:rsidRPr="00555A7B" w:rsidRDefault="00AD6AB4" w:rsidP="008F26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Masculino de 55 años de edad, la infestación se dio atravez de la mordedura de un Canino.</w:t>
            </w:r>
          </w:p>
        </w:tc>
      </w:tr>
    </w:tbl>
    <w:p w14:paraId="7833D1AB" w14:textId="1B0D7A89" w:rsidR="000B7D3A" w:rsidRPr="002824CB" w:rsidRDefault="002824CB" w:rsidP="002824CB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2824CB">
        <w:rPr>
          <w:rFonts w:ascii="Arial" w:hAnsi="Arial" w:cs="Arial"/>
          <w:b/>
          <w:bCs/>
          <w:sz w:val="28"/>
          <w:szCs w:val="28"/>
          <w:lang w:val="es-ES"/>
        </w:rPr>
        <w:t>Casos de Miasis ocasionada por el GB</w:t>
      </w:r>
      <w:r>
        <w:rPr>
          <w:rFonts w:ascii="Arial" w:hAnsi="Arial" w:cs="Arial"/>
          <w:b/>
          <w:bCs/>
          <w:sz w:val="28"/>
          <w:szCs w:val="28"/>
          <w:lang w:val="es-ES"/>
        </w:rPr>
        <w:t>G en el estado de Chiapas.</w:t>
      </w:r>
    </w:p>
    <w:p w14:paraId="01A77B5A" w14:textId="77777777" w:rsidR="00AD6AB4" w:rsidRPr="00AD6AB4" w:rsidRDefault="00AD6AB4" w:rsidP="00AD6AB4">
      <w:pPr>
        <w:rPr>
          <w:lang w:val="es-ES"/>
        </w:rPr>
      </w:pPr>
    </w:p>
    <w:p w14:paraId="0BC3A6A8" w14:textId="77777777" w:rsidR="00AD6AB4" w:rsidRPr="00AD6AB4" w:rsidRDefault="00AD6AB4" w:rsidP="00AD6AB4">
      <w:pPr>
        <w:rPr>
          <w:lang w:val="es-ES"/>
        </w:rPr>
      </w:pPr>
    </w:p>
    <w:p w14:paraId="1E9D3ADB" w14:textId="77777777" w:rsidR="00AD6AB4" w:rsidRPr="00AD6AB4" w:rsidRDefault="00AD6AB4" w:rsidP="00AD6AB4">
      <w:pPr>
        <w:rPr>
          <w:lang w:val="es-ES"/>
        </w:rPr>
      </w:pPr>
    </w:p>
    <w:p w14:paraId="2029BF7A" w14:textId="77777777" w:rsidR="00AD6AB4" w:rsidRPr="00AD6AB4" w:rsidRDefault="00AD6AB4" w:rsidP="00AD6AB4">
      <w:pPr>
        <w:rPr>
          <w:lang w:val="es-ES"/>
        </w:rPr>
      </w:pPr>
    </w:p>
    <w:p w14:paraId="2604E0EB" w14:textId="77777777" w:rsidR="00AD6AB4" w:rsidRPr="00AD6AB4" w:rsidRDefault="00AD6AB4" w:rsidP="00AD6AB4">
      <w:pPr>
        <w:rPr>
          <w:lang w:val="es-ES"/>
        </w:rPr>
      </w:pPr>
    </w:p>
    <w:p w14:paraId="2BCA3567" w14:textId="77777777" w:rsidR="00AD6AB4" w:rsidRPr="00AD6AB4" w:rsidRDefault="00AD6AB4" w:rsidP="00AD6AB4">
      <w:pPr>
        <w:rPr>
          <w:lang w:val="es-ES"/>
        </w:rPr>
      </w:pPr>
    </w:p>
    <w:p w14:paraId="59B3BEB4" w14:textId="77777777" w:rsidR="00AD6AB4" w:rsidRPr="00AD6AB4" w:rsidRDefault="00AD6AB4" w:rsidP="00AD6AB4">
      <w:pPr>
        <w:rPr>
          <w:lang w:val="es-ES"/>
        </w:rPr>
      </w:pPr>
    </w:p>
    <w:p w14:paraId="47BDE1A7" w14:textId="77777777" w:rsidR="00AD6AB4" w:rsidRPr="00AD6AB4" w:rsidRDefault="00AD6AB4" w:rsidP="00AD6AB4">
      <w:pPr>
        <w:rPr>
          <w:lang w:val="es-ES"/>
        </w:rPr>
      </w:pPr>
    </w:p>
    <w:p w14:paraId="7B607E5C" w14:textId="77777777" w:rsidR="00AD6AB4" w:rsidRPr="00AD6AB4" w:rsidRDefault="00AD6AB4" w:rsidP="00AD6AB4">
      <w:pPr>
        <w:rPr>
          <w:lang w:val="es-ES"/>
        </w:rPr>
      </w:pPr>
    </w:p>
    <w:p w14:paraId="0842E41F" w14:textId="77777777" w:rsidR="00AD6AB4" w:rsidRPr="00AD6AB4" w:rsidRDefault="00AD6AB4" w:rsidP="00AD6AB4">
      <w:pPr>
        <w:rPr>
          <w:lang w:val="es-ES"/>
        </w:rPr>
      </w:pPr>
    </w:p>
    <w:p w14:paraId="7EFD3937" w14:textId="77777777" w:rsidR="00AD6AB4" w:rsidRPr="00AD6AB4" w:rsidRDefault="00AD6AB4" w:rsidP="00AD6AB4">
      <w:pPr>
        <w:rPr>
          <w:lang w:val="es-ES"/>
        </w:rPr>
      </w:pPr>
    </w:p>
    <w:p w14:paraId="485BFE72" w14:textId="77777777" w:rsidR="00AD6AB4" w:rsidRPr="00AD6AB4" w:rsidRDefault="00AD6AB4" w:rsidP="00AD6AB4">
      <w:pPr>
        <w:rPr>
          <w:lang w:val="es-ES"/>
        </w:rPr>
      </w:pPr>
    </w:p>
    <w:p w14:paraId="20CC8BD5" w14:textId="77777777" w:rsidR="00AD6AB4" w:rsidRPr="00AD6AB4" w:rsidRDefault="00AD6AB4" w:rsidP="00AD6AB4">
      <w:pPr>
        <w:rPr>
          <w:lang w:val="es-ES"/>
        </w:rPr>
      </w:pPr>
    </w:p>
    <w:p w14:paraId="170E52AF" w14:textId="77777777" w:rsidR="00AD6AB4" w:rsidRDefault="00AD6AB4" w:rsidP="00AD6AB4">
      <w:pPr>
        <w:rPr>
          <w:lang w:val="es-ES"/>
        </w:rPr>
      </w:pPr>
    </w:p>
    <w:p w14:paraId="30378298" w14:textId="11E948FE" w:rsidR="002824CB" w:rsidRDefault="002824CB" w:rsidP="00AD6AB4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3DA1E934" wp14:editId="0E036BE8">
            <wp:extent cx="5612130" cy="3117850"/>
            <wp:effectExtent l="0" t="0" r="7620" b="6350"/>
            <wp:docPr id="11309609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960954" name="Imagen 113096095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C68FE" w14:textId="4038AF37" w:rsidR="002824CB" w:rsidRPr="002824CB" w:rsidRDefault="002824CB" w:rsidP="00AD6AB4">
      <w:pPr>
        <w:rPr>
          <w:rFonts w:ascii="Arial" w:hAnsi="Arial" w:cs="Arial"/>
          <w:sz w:val="24"/>
          <w:szCs w:val="24"/>
          <w:lang w:val="es-ES"/>
        </w:rPr>
      </w:pPr>
      <w:r w:rsidRPr="002824CB">
        <w:rPr>
          <w:rFonts w:ascii="Arial" w:hAnsi="Arial" w:cs="Arial"/>
          <w:sz w:val="24"/>
          <w:szCs w:val="24"/>
          <w:lang w:val="es-ES"/>
        </w:rPr>
        <w:t xml:space="preserve"> En esta grafica podemos observar las notificaciones epidemiológicas por semana del 2024 y el 2025.</w:t>
      </w:r>
    </w:p>
    <w:p w14:paraId="622D88BE" w14:textId="77777777" w:rsidR="002824CB" w:rsidRDefault="002824CB" w:rsidP="00AD6AB4">
      <w:pPr>
        <w:rPr>
          <w:lang w:val="es-ES"/>
        </w:rPr>
      </w:pPr>
    </w:p>
    <w:p w14:paraId="4933830C" w14:textId="5C026A60" w:rsidR="002824CB" w:rsidRDefault="002824CB" w:rsidP="00AD6AB4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3B7D950" wp14:editId="027D4B19">
            <wp:extent cx="5612130" cy="3128010"/>
            <wp:effectExtent l="0" t="0" r="7620" b="0"/>
            <wp:docPr id="204951160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511600" name="Imagen 204951160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147F4" w14:textId="0B4B6164" w:rsidR="002824CB" w:rsidRPr="002824CB" w:rsidRDefault="002824CB" w:rsidP="002824CB">
      <w:pPr>
        <w:rPr>
          <w:rFonts w:ascii="Arial" w:hAnsi="Arial" w:cs="Arial"/>
          <w:sz w:val="24"/>
          <w:szCs w:val="24"/>
          <w:lang w:val="es-ES"/>
        </w:rPr>
      </w:pPr>
      <w:r w:rsidRPr="002824CB">
        <w:rPr>
          <w:rFonts w:ascii="Arial" w:hAnsi="Arial" w:cs="Arial"/>
          <w:sz w:val="24"/>
          <w:szCs w:val="24"/>
          <w:lang w:val="es-ES"/>
        </w:rPr>
        <w:t xml:space="preserve">En esta grafica podemos observar las notificaciones epidemiológicas por </w:t>
      </w:r>
      <w:r>
        <w:rPr>
          <w:rFonts w:ascii="Arial" w:hAnsi="Arial" w:cs="Arial"/>
          <w:sz w:val="24"/>
          <w:szCs w:val="24"/>
          <w:lang w:val="es-ES"/>
        </w:rPr>
        <w:t xml:space="preserve">estado </w:t>
      </w:r>
      <w:r w:rsidRPr="002824CB">
        <w:rPr>
          <w:rFonts w:ascii="Arial" w:hAnsi="Arial" w:cs="Arial"/>
          <w:sz w:val="24"/>
          <w:szCs w:val="24"/>
          <w:lang w:val="es-ES"/>
        </w:rPr>
        <w:t>del</w:t>
      </w:r>
      <w:r w:rsidRPr="002824CB">
        <w:rPr>
          <w:rFonts w:ascii="Arial" w:hAnsi="Arial" w:cs="Arial"/>
          <w:sz w:val="24"/>
          <w:szCs w:val="24"/>
          <w:lang w:val="es-ES"/>
        </w:rPr>
        <w:t xml:space="preserve"> 2024 y el 2025.</w:t>
      </w:r>
    </w:p>
    <w:p w14:paraId="4A92CEF3" w14:textId="77777777" w:rsidR="002824CB" w:rsidRDefault="002824CB" w:rsidP="00AD6AB4">
      <w:pPr>
        <w:rPr>
          <w:lang w:val="es-ES"/>
        </w:rPr>
      </w:pPr>
    </w:p>
    <w:p w14:paraId="7068400A" w14:textId="0B6BB446" w:rsidR="002824CB" w:rsidRDefault="002824CB" w:rsidP="00AD6AB4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3DEF9C79" wp14:editId="044B3074">
            <wp:extent cx="5612130" cy="3128010"/>
            <wp:effectExtent l="0" t="0" r="7620" b="0"/>
            <wp:docPr id="54558690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586909" name="Imagen 54558690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2431B" w14:textId="2F2F2785" w:rsidR="002824CB" w:rsidRPr="002824CB" w:rsidRDefault="002824CB" w:rsidP="002824CB">
      <w:pPr>
        <w:rPr>
          <w:rFonts w:ascii="Arial" w:hAnsi="Arial" w:cs="Arial"/>
          <w:sz w:val="24"/>
          <w:szCs w:val="24"/>
          <w:lang w:val="es-ES"/>
        </w:rPr>
      </w:pPr>
      <w:r w:rsidRPr="002824CB">
        <w:rPr>
          <w:rFonts w:ascii="Arial" w:hAnsi="Arial" w:cs="Arial"/>
          <w:sz w:val="24"/>
          <w:szCs w:val="24"/>
          <w:lang w:val="es-ES"/>
        </w:rPr>
        <w:t xml:space="preserve">En esta grafica podemos observar las notificaciones epidemiológicas por </w:t>
      </w:r>
      <w:r>
        <w:rPr>
          <w:rFonts w:ascii="Arial" w:hAnsi="Arial" w:cs="Arial"/>
          <w:sz w:val="24"/>
          <w:szCs w:val="24"/>
          <w:lang w:val="es-ES"/>
        </w:rPr>
        <w:t xml:space="preserve">especie </w:t>
      </w:r>
      <w:r w:rsidRPr="002824CB">
        <w:rPr>
          <w:rFonts w:ascii="Arial" w:hAnsi="Arial" w:cs="Arial"/>
          <w:sz w:val="24"/>
          <w:szCs w:val="24"/>
          <w:lang w:val="es-ES"/>
        </w:rPr>
        <w:t>del 2024 y el 2025.</w:t>
      </w:r>
    </w:p>
    <w:p w14:paraId="3D1BED00" w14:textId="403F32F2" w:rsidR="002824CB" w:rsidRDefault="002824CB" w:rsidP="00AD6AB4">
      <w:pPr>
        <w:rPr>
          <w:lang w:val="es-ES"/>
        </w:rPr>
      </w:pPr>
    </w:p>
    <w:p w14:paraId="1B334C65" w14:textId="77777777" w:rsidR="002824CB" w:rsidRDefault="002824CB" w:rsidP="00AD6AB4">
      <w:pPr>
        <w:rPr>
          <w:lang w:val="es-ES"/>
        </w:rPr>
      </w:pPr>
    </w:p>
    <w:p w14:paraId="074AAB49" w14:textId="625673C4" w:rsidR="002824CB" w:rsidRDefault="002824CB" w:rsidP="00AD6AB4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9A412DA" wp14:editId="29CFEE5F">
            <wp:extent cx="5612130" cy="3076575"/>
            <wp:effectExtent l="0" t="0" r="7620" b="9525"/>
            <wp:docPr id="95308334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083348" name="Imagen 95308334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4AE21" w14:textId="0865EFB8" w:rsidR="002824CB" w:rsidRPr="002824CB" w:rsidRDefault="002824CB" w:rsidP="002824CB">
      <w:pPr>
        <w:rPr>
          <w:rFonts w:ascii="Arial" w:hAnsi="Arial" w:cs="Arial"/>
          <w:sz w:val="24"/>
          <w:szCs w:val="24"/>
          <w:lang w:val="es-ES"/>
        </w:rPr>
      </w:pPr>
      <w:r w:rsidRPr="002824CB">
        <w:rPr>
          <w:rFonts w:ascii="Arial" w:hAnsi="Arial" w:cs="Arial"/>
          <w:sz w:val="24"/>
          <w:szCs w:val="24"/>
          <w:lang w:val="es-ES"/>
        </w:rPr>
        <w:t>En esta grafica podemos observar l</w:t>
      </w:r>
      <w:r>
        <w:rPr>
          <w:rFonts w:ascii="Arial" w:hAnsi="Arial" w:cs="Arial"/>
          <w:sz w:val="24"/>
          <w:szCs w:val="24"/>
          <w:lang w:val="es-ES"/>
        </w:rPr>
        <w:t xml:space="preserve">os casos detectados de GBG en el </w:t>
      </w:r>
      <w:proofErr w:type="gramStart"/>
      <w:r>
        <w:rPr>
          <w:rFonts w:ascii="Arial" w:hAnsi="Arial" w:cs="Arial"/>
          <w:sz w:val="24"/>
          <w:szCs w:val="24"/>
          <w:lang w:val="es-ES"/>
        </w:rPr>
        <w:t xml:space="preserve">país  </w:t>
      </w:r>
      <w:r w:rsidRPr="002824CB">
        <w:rPr>
          <w:rFonts w:ascii="Arial" w:hAnsi="Arial" w:cs="Arial"/>
          <w:sz w:val="24"/>
          <w:szCs w:val="24"/>
          <w:lang w:val="es-ES"/>
        </w:rPr>
        <w:t>del</w:t>
      </w:r>
      <w:proofErr w:type="gramEnd"/>
      <w:r w:rsidRPr="002824CB">
        <w:rPr>
          <w:rFonts w:ascii="Arial" w:hAnsi="Arial" w:cs="Arial"/>
          <w:sz w:val="24"/>
          <w:szCs w:val="24"/>
          <w:lang w:val="es-ES"/>
        </w:rPr>
        <w:t xml:space="preserve"> 2024 y el 2025.</w:t>
      </w:r>
    </w:p>
    <w:p w14:paraId="1E771A32" w14:textId="77777777" w:rsidR="002824CB" w:rsidRDefault="002824CB" w:rsidP="00AD6AB4">
      <w:pPr>
        <w:rPr>
          <w:lang w:val="es-ES"/>
        </w:rPr>
      </w:pPr>
    </w:p>
    <w:p w14:paraId="6235C9FA" w14:textId="77777777" w:rsidR="002824CB" w:rsidRDefault="002824CB" w:rsidP="00AD6AB4">
      <w:pPr>
        <w:rPr>
          <w:lang w:val="es-ES"/>
        </w:rPr>
      </w:pPr>
    </w:p>
    <w:p w14:paraId="40C139F7" w14:textId="6AE6C50B" w:rsidR="002824CB" w:rsidRDefault="002824CB" w:rsidP="00AD6AB4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32221D80" wp14:editId="38D854C5">
            <wp:extent cx="5612130" cy="3091815"/>
            <wp:effectExtent l="0" t="0" r="7620" b="0"/>
            <wp:docPr id="189006220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062202" name="Imagen 189006220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79CE9" w14:textId="31E7E9E6" w:rsidR="002824CB" w:rsidRPr="002824CB" w:rsidRDefault="002824CB" w:rsidP="002824CB">
      <w:pPr>
        <w:rPr>
          <w:rFonts w:ascii="Arial" w:hAnsi="Arial" w:cs="Arial"/>
          <w:sz w:val="24"/>
          <w:szCs w:val="24"/>
          <w:lang w:val="es-ES"/>
        </w:rPr>
      </w:pPr>
      <w:r w:rsidRPr="002824CB">
        <w:rPr>
          <w:rFonts w:ascii="Arial" w:hAnsi="Arial" w:cs="Arial"/>
          <w:sz w:val="24"/>
          <w:szCs w:val="24"/>
          <w:lang w:val="es-ES"/>
        </w:rPr>
        <w:t>En esta grafica podemos observar l</w:t>
      </w:r>
      <w:r>
        <w:rPr>
          <w:rFonts w:ascii="Arial" w:hAnsi="Arial" w:cs="Arial"/>
          <w:sz w:val="24"/>
          <w:szCs w:val="24"/>
          <w:lang w:val="es-ES"/>
        </w:rPr>
        <w:t xml:space="preserve">os casos detectados de GBG </w:t>
      </w:r>
      <w:r w:rsidR="0085228A">
        <w:rPr>
          <w:rFonts w:ascii="Arial" w:hAnsi="Arial" w:cs="Arial"/>
          <w:sz w:val="24"/>
          <w:szCs w:val="24"/>
          <w:lang w:val="es-ES"/>
        </w:rPr>
        <w:t>por estado y municipio del</w:t>
      </w:r>
      <w:r w:rsidRPr="002824CB">
        <w:rPr>
          <w:rFonts w:ascii="Arial" w:hAnsi="Arial" w:cs="Arial"/>
          <w:sz w:val="24"/>
          <w:szCs w:val="24"/>
          <w:lang w:val="es-ES"/>
        </w:rPr>
        <w:t xml:space="preserve"> 2024 y el 2025.</w:t>
      </w:r>
    </w:p>
    <w:p w14:paraId="46B5673F" w14:textId="77777777" w:rsidR="002824CB" w:rsidRDefault="002824CB" w:rsidP="00AD6AB4">
      <w:pPr>
        <w:rPr>
          <w:lang w:val="es-ES"/>
        </w:rPr>
      </w:pPr>
    </w:p>
    <w:p w14:paraId="0D659ED9" w14:textId="1C8D16A7" w:rsidR="002824CB" w:rsidRDefault="002824CB" w:rsidP="00AD6AB4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6BAAB2E5" wp14:editId="75F0A412">
            <wp:extent cx="5612130" cy="3076575"/>
            <wp:effectExtent l="0" t="0" r="7620" b="9525"/>
            <wp:docPr id="55663703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637034" name="Imagen 5566370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7395A" w14:textId="45BFF71C" w:rsidR="0085228A" w:rsidRPr="002824CB" w:rsidRDefault="0085228A" w:rsidP="0085228A">
      <w:pPr>
        <w:rPr>
          <w:rFonts w:ascii="Arial" w:hAnsi="Arial" w:cs="Arial"/>
          <w:sz w:val="24"/>
          <w:szCs w:val="24"/>
          <w:lang w:val="es-ES"/>
        </w:rPr>
      </w:pPr>
      <w:r w:rsidRPr="002824CB">
        <w:rPr>
          <w:rFonts w:ascii="Arial" w:hAnsi="Arial" w:cs="Arial"/>
          <w:sz w:val="24"/>
          <w:szCs w:val="24"/>
          <w:lang w:val="es-ES"/>
        </w:rPr>
        <w:t>En esta grafica podemos observar l</w:t>
      </w:r>
      <w:r>
        <w:rPr>
          <w:rFonts w:ascii="Arial" w:hAnsi="Arial" w:cs="Arial"/>
          <w:sz w:val="24"/>
          <w:szCs w:val="24"/>
          <w:lang w:val="es-ES"/>
        </w:rPr>
        <w:t>os casos detectados de GBG en el país</w:t>
      </w:r>
      <w:r>
        <w:rPr>
          <w:rFonts w:ascii="Arial" w:hAnsi="Arial" w:cs="Arial"/>
          <w:sz w:val="24"/>
          <w:szCs w:val="24"/>
          <w:lang w:val="es-ES"/>
        </w:rPr>
        <w:t xml:space="preserve"> y países vecinos como lo son Guatemala y Belice del</w:t>
      </w:r>
      <w:r w:rsidRPr="002824CB">
        <w:rPr>
          <w:rFonts w:ascii="Arial" w:hAnsi="Arial" w:cs="Arial"/>
          <w:sz w:val="24"/>
          <w:szCs w:val="24"/>
          <w:lang w:val="es-ES"/>
        </w:rPr>
        <w:t xml:space="preserve"> 2024 y el 2025.</w:t>
      </w:r>
    </w:p>
    <w:p w14:paraId="1B3A531C" w14:textId="4D83D961" w:rsidR="00AD6AB4" w:rsidRPr="0085228A" w:rsidRDefault="00AD6AB4" w:rsidP="00AD6AB4">
      <w:pPr>
        <w:tabs>
          <w:tab w:val="left" w:pos="1731"/>
        </w:tabs>
        <w:rPr>
          <w:rFonts w:ascii="Arial" w:hAnsi="Arial" w:cs="Arial"/>
          <w:sz w:val="24"/>
          <w:szCs w:val="24"/>
          <w:lang w:val="es-ES"/>
        </w:rPr>
      </w:pPr>
    </w:p>
    <w:p w14:paraId="3C9027D5" w14:textId="6F0A06D3" w:rsidR="0085228A" w:rsidRPr="0085228A" w:rsidRDefault="0085228A" w:rsidP="00AD6AB4">
      <w:pPr>
        <w:tabs>
          <w:tab w:val="left" w:pos="1731"/>
        </w:tabs>
        <w:rPr>
          <w:rFonts w:ascii="Arial" w:hAnsi="Arial" w:cs="Arial"/>
          <w:sz w:val="24"/>
          <w:szCs w:val="24"/>
          <w:lang w:val="es-ES"/>
        </w:rPr>
      </w:pPr>
      <w:r w:rsidRPr="0085228A">
        <w:rPr>
          <w:rFonts w:ascii="Arial" w:hAnsi="Arial" w:cs="Arial"/>
          <w:sz w:val="24"/>
          <w:szCs w:val="24"/>
          <w:lang w:val="es-ES"/>
        </w:rPr>
        <w:t>Como se pudo observar de los datos anteriormente mencionado en el trabajo los cuales decían que dentro del estado solo existían 7 casos podemos ver ahora que hay más casos dentro de Chiapas y sus municipios, pero de igual forma estados cercanos a este han presentado casos del GBG.</w:t>
      </w:r>
    </w:p>
    <w:sectPr w:rsidR="0085228A" w:rsidRPr="0085228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D3A"/>
    <w:rsid w:val="000B7D3A"/>
    <w:rsid w:val="002824CB"/>
    <w:rsid w:val="005676A0"/>
    <w:rsid w:val="0085228A"/>
    <w:rsid w:val="00AD6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B41C05"/>
  <w15:chartTrackingRefBased/>
  <w15:docId w15:val="{D414677C-DA78-458B-9665-AC0E8403D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6AB4"/>
    <w:pPr>
      <w:spacing w:line="25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0B7D3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7D3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7D3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7D3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7D3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sz w:val="24"/>
      <w:szCs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7D3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7D3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7D3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7D3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7D3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7D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7D3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7D3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7D3A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7D3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7D3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7D3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7D3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7D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7D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7D3A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7D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7D3A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0B7D3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7D3A"/>
    <w:pPr>
      <w:spacing w:line="278" w:lineRule="auto"/>
      <w:ind w:left="720"/>
      <w:contextualSpacing/>
    </w:pPr>
    <w:rPr>
      <w:sz w:val="24"/>
      <w:szCs w:val="24"/>
    </w:rPr>
  </w:style>
  <w:style w:type="character" w:styleId="nfasisintenso">
    <w:name w:val="Intense Emphasis"/>
    <w:basedOn w:val="Fuentedeprrafopredeter"/>
    <w:uiPriority w:val="21"/>
    <w:qFormat/>
    <w:rsid w:val="000B7D3A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7D3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7D3A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7D3A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AD6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194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ENSERES</dc:creator>
  <cp:keywords/>
  <dc:description/>
  <cp:lastModifiedBy>ENSERES</cp:lastModifiedBy>
  <cp:revision>2</cp:revision>
  <dcterms:created xsi:type="dcterms:W3CDTF">2025-05-22T21:17:00Z</dcterms:created>
  <dcterms:modified xsi:type="dcterms:W3CDTF">2025-05-22T23:01:00Z</dcterms:modified>
</cp:coreProperties>
</file>