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A99" w:rsidRPr="00E37D6D" w:rsidRDefault="00955A99" w:rsidP="00955A99">
      <w:pPr>
        <w:jc w:val="center"/>
      </w:pPr>
      <w:r>
        <w:rPr>
          <w:rFonts w:ascii="Arial" w:hAnsi="Arial" w:cs="Arial"/>
          <w:noProof/>
          <w:sz w:val="28"/>
          <w:szCs w:val="28"/>
          <w:lang w:val="es-ES_tradnl"/>
        </w:rPr>
        <w:drawing>
          <wp:anchor distT="0" distB="0" distL="114300" distR="114300" simplePos="0" relativeHeight="251659264" behindDoc="1" locked="0" layoutInCell="1" allowOverlap="1" wp14:anchorId="7F6BFFAF" wp14:editId="6D3CCF10">
            <wp:simplePos x="0" y="0"/>
            <wp:positionH relativeFrom="column">
              <wp:posOffset>-775335</wp:posOffset>
            </wp:positionH>
            <wp:positionV relativeFrom="paragraph">
              <wp:posOffset>-518160</wp:posOffset>
            </wp:positionV>
            <wp:extent cx="1714500" cy="1485900"/>
            <wp:effectExtent l="0" t="0" r="0" b="0"/>
            <wp:wrapNone/>
            <wp:docPr id="48462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71851" name="Imagen 1508971851"/>
                    <pic:cNvPicPr/>
                  </pic:nvPicPr>
                  <pic:blipFill>
                    <a:blip r:embed="rId8">
                      <a:extLst>
                        <a:ext uri="{28A0092B-C50C-407E-A947-70E740481C1C}">
                          <a14:useLocalDpi xmlns:a14="http://schemas.microsoft.com/office/drawing/2010/main" val="0"/>
                        </a:ext>
                      </a:extLst>
                    </a:blip>
                    <a:stretch>
                      <a:fillRect/>
                    </a:stretch>
                  </pic:blipFill>
                  <pic:spPr>
                    <a:xfrm>
                      <a:off x="0" y="0"/>
                      <a:ext cx="1714500" cy="1485900"/>
                    </a:xfrm>
                    <a:prstGeom prst="rect">
                      <a:avLst/>
                    </a:prstGeom>
                  </pic:spPr>
                </pic:pic>
              </a:graphicData>
            </a:graphic>
            <wp14:sizeRelH relativeFrom="page">
              <wp14:pctWidth>0</wp14:pctWidth>
            </wp14:sizeRelH>
            <wp14:sizeRelV relativeFrom="page">
              <wp14:pctHeight>0</wp14:pctHeight>
            </wp14:sizeRelV>
          </wp:anchor>
        </w:drawing>
      </w:r>
      <w:r w:rsidRPr="00E37D6D">
        <w:rPr>
          <w:rFonts w:ascii="Arial" w:hAnsi="Arial" w:cs="Arial"/>
          <w:b/>
          <w:bCs/>
          <w:sz w:val="40"/>
          <w:szCs w:val="40"/>
          <w:lang w:val="es-ES_tradnl"/>
        </w:rPr>
        <w:t>UNIVERSIDAD DEL SURESTE</w:t>
      </w:r>
    </w:p>
    <w:p w:rsidR="00955A99" w:rsidRPr="00E37D6D" w:rsidRDefault="00955A99" w:rsidP="00955A99">
      <w:pPr>
        <w:jc w:val="center"/>
        <w:rPr>
          <w:rFonts w:ascii="Arial" w:hAnsi="Arial" w:cs="Arial"/>
          <w:sz w:val="40"/>
          <w:szCs w:val="40"/>
          <w:lang w:val="es-ES_tradnl"/>
        </w:rPr>
      </w:pPr>
      <w:r w:rsidRPr="00E37D6D">
        <w:rPr>
          <w:rFonts w:ascii="Arial" w:hAnsi="Arial" w:cs="Arial"/>
          <w:b/>
          <w:bCs/>
          <w:sz w:val="40"/>
          <w:szCs w:val="40"/>
          <w:lang w:val="es-ES_tradnl"/>
        </w:rPr>
        <w:t>CAMPUS TAPACHULA</w:t>
      </w:r>
    </w:p>
    <w:p w:rsidR="00955A99" w:rsidRDefault="00955A99" w:rsidP="00955A99">
      <w:pPr>
        <w:rPr>
          <w:rFonts w:ascii="Arial" w:hAnsi="Arial" w:cs="Arial"/>
          <w:sz w:val="28"/>
          <w:szCs w:val="28"/>
          <w:lang w:val="es-ES_tradnl"/>
        </w:rPr>
      </w:pPr>
    </w:p>
    <w:p w:rsidR="00955A99" w:rsidRPr="00334A8A" w:rsidRDefault="00955A99" w:rsidP="00955A99">
      <w:pP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p>
    <w:p w:rsidR="00955A99" w:rsidRPr="00334A8A" w:rsidRDefault="00955A99" w:rsidP="00955A99">
      <w:pPr>
        <w:rPr>
          <w:rFonts w:ascii="Arial" w:hAnsi="Arial" w:cs="Arial"/>
          <w:sz w:val="28"/>
          <w:szCs w:val="28"/>
          <w:lang w:val="es-ES_tradnl"/>
        </w:rPr>
      </w:pPr>
    </w:p>
    <w:p w:rsidR="00955A99" w:rsidRDefault="00955A99" w:rsidP="00955A99">
      <w:pPr>
        <w:jc w:val="center"/>
        <w:rPr>
          <w:rFonts w:ascii="Arial" w:hAnsi="Arial" w:cs="Arial"/>
          <w:b/>
          <w:bCs/>
          <w:sz w:val="28"/>
          <w:szCs w:val="28"/>
          <w:lang w:val="es-ES_tradnl"/>
        </w:rPr>
      </w:pPr>
      <w:r w:rsidRPr="00955A99">
        <w:rPr>
          <w:rFonts w:ascii="Arial" w:hAnsi="Arial" w:cs="Arial"/>
          <w:b/>
          <w:bCs/>
          <w:sz w:val="28"/>
          <w:szCs w:val="28"/>
          <w:lang w:val="es-ES_tradnl"/>
        </w:rPr>
        <w:t>ANALISIS</w:t>
      </w:r>
    </w:p>
    <w:p w:rsidR="00955A99" w:rsidRDefault="00955A99" w:rsidP="00955A99">
      <w:pPr>
        <w:jc w:val="center"/>
        <w:rPr>
          <w:rFonts w:ascii="Arial" w:hAnsi="Arial" w:cs="Arial"/>
          <w:b/>
          <w:bCs/>
          <w:sz w:val="28"/>
          <w:szCs w:val="28"/>
          <w:lang w:val="es-ES_tradnl"/>
        </w:rPr>
      </w:pPr>
    </w:p>
    <w:p w:rsidR="00955A99" w:rsidRPr="00955A99" w:rsidRDefault="00955A99" w:rsidP="00955A99">
      <w:pPr>
        <w:jc w:val="center"/>
        <w:rPr>
          <w:color w:val="000000" w:themeColor="text1"/>
          <w:sz w:val="22"/>
          <w:szCs w:val="22"/>
          <w:lang w:eastAsia="es-MX"/>
        </w:rPr>
      </w:pPr>
      <w:r w:rsidRPr="00955A99">
        <w:rPr>
          <w:rFonts w:ascii="Arial" w:hAnsi="Arial" w:cs="Arial"/>
          <w:b/>
          <w:bCs/>
          <w:sz w:val="28"/>
          <w:szCs w:val="28"/>
          <w:lang w:val="es-ES_tradnl"/>
        </w:rPr>
        <w:t xml:space="preserve">  </w:t>
      </w:r>
      <w:r>
        <w:rPr>
          <w:rFonts w:ascii="Arial" w:hAnsi="Arial" w:cs="Arial"/>
          <w:b/>
          <w:bCs/>
          <w:sz w:val="28"/>
          <w:szCs w:val="28"/>
          <w:lang w:val="es-ES_tradnl"/>
        </w:rPr>
        <w:t>“</w:t>
      </w:r>
      <w:r w:rsidRPr="00955A99">
        <w:rPr>
          <w:rFonts w:ascii="Arial" w:hAnsi="Arial" w:cs="Arial"/>
          <w:b/>
          <w:bCs/>
          <w:sz w:val="28"/>
          <w:szCs w:val="28"/>
          <w:lang w:val="es-ES_tradnl"/>
        </w:rPr>
        <w:t>INFRAESTRUCTURA Y FORTALECIMIENTO DEL SISTEMA DE SALUD</w:t>
      </w:r>
      <w:r>
        <w:rPr>
          <w:rFonts w:ascii="Arial" w:hAnsi="Arial" w:cs="Arial"/>
          <w:b/>
          <w:bCs/>
          <w:sz w:val="28"/>
          <w:szCs w:val="28"/>
          <w:lang w:val="es-ES_tradnl"/>
        </w:rPr>
        <w:t>”</w:t>
      </w:r>
    </w:p>
    <w:p w:rsidR="00955A99" w:rsidRPr="00955A99" w:rsidRDefault="00955A99" w:rsidP="00955A99">
      <w:pPr>
        <w:jc w:val="center"/>
        <w:rPr>
          <w:rFonts w:ascii="Arial" w:hAnsi="Arial" w:cs="Arial"/>
          <w:b/>
          <w:bCs/>
          <w:sz w:val="32"/>
          <w:szCs w:val="32"/>
        </w:rPr>
      </w:pPr>
    </w:p>
    <w:p w:rsidR="00955A99" w:rsidRDefault="00955A99" w:rsidP="00955A99">
      <w:pPr>
        <w:jc w:val="center"/>
        <w:rPr>
          <w:rFonts w:ascii="Arial" w:hAnsi="Arial" w:cs="Arial"/>
          <w:sz w:val="28"/>
          <w:szCs w:val="28"/>
          <w:lang w:val="es-ES_tradnl"/>
        </w:rPr>
      </w:pPr>
    </w:p>
    <w:p w:rsidR="00955A99" w:rsidRPr="00334A8A" w:rsidRDefault="00955A99" w:rsidP="00955A99">
      <w:pPr>
        <w:rPr>
          <w:rFonts w:ascii="Arial" w:hAnsi="Arial" w:cs="Arial"/>
          <w:sz w:val="28"/>
          <w:szCs w:val="28"/>
          <w:lang w:val="es-ES_tradnl"/>
        </w:rPr>
      </w:pPr>
    </w:p>
    <w:p w:rsidR="00955A99" w:rsidRPr="0047021A" w:rsidRDefault="00955A99" w:rsidP="00955A99">
      <w:pPr>
        <w:jc w:val="center"/>
        <w:rPr>
          <w:rFonts w:ascii="Arial" w:hAnsi="Arial" w:cs="Arial"/>
          <w:b/>
          <w:bCs/>
          <w:sz w:val="28"/>
          <w:szCs w:val="28"/>
          <w:lang w:val="es-ES_tradnl"/>
        </w:rPr>
      </w:pPr>
      <w:r w:rsidRPr="0047021A">
        <w:rPr>
          <w:rFonts w:ascii="Arial" w:hAnsi="Arial" w:cs="Arial"/>
          <w:b/>
          <w:bCs/>
          <w:sz w:val="28"/>
          <w:szCs w:val="28"/>
          <w:lang w:val="es-ES_tradnl"/>
        </w:rPr>
        <w:t>PRESENTA:</w:t>
      </w:r>
    </w:p>
    <w:p w:rsidR="00955A99" w:rsidRPr="00334A8A" w:rsidRDefault="00955A99" w:rsidP="00955A99">
      <w:pPr>
        <w:jc w:val="center"/>
        <w:rPr>
          <w:rFonts w:ascii="Arial" w:hAnsi="Arial" w:cs="Arial"/>
          <w:sz w:val="28"/>
          <w:szCs w:val="28"/>
          <w:lang w:val="es-ES_tradnl"/>
        </w:rPr>
      </w:pPr>
    </w:p>
    <w:p w:rsidR="00955A99" w:rsidRPr="00334A8A" w:rsidRDefault="00955A99" w:rsidP="00955A99">
      <w:pPr>
        <w:jc w:val="center"/>
        <w:rPr>
          <w:rFonts w:ascii="Arial" w:hAnsi="Arial" w:cs="Arial"/>
          <w:sz w:val="28"/>
          <w:szCs w:val="28"/>
          <w:lang w:val="es-ES_tradnl"/>
        </w:rPr>
      </w:pPr>
      <w:r w:rsidRPr="00334A8A">
        <w:rPr>
          <w:rFonts w:ascii="Arial" w:hAnsi="Arial" w:cs="Arial"/>
          <w:sz w:val="28"/>
          <w:szCs w:val="28"/>
          <w:lang w:val="es-ES_tradnl"/>
        </w:rPr>
        <w:t>LUIS DANIEL NOLASCO GONZÁLEZ</w:t>
      </w:r>
    </w:p>
    <w:p w:rsidR="00955A99" w:rsidRPr="00334A8A" w:rsidRDefault="00955A99" w:rsidP="00955A99">
      <w:pPr>
        <w:jc w:val="center"/>
        <w:rPr>
          <w:rFonts w:ascii="Arial" w:hAnsi="Arial" w:cs="Arial"/>
          <w:sz w:val="28"/>
          <w:szCs w:val="28"/>
          <w:lang w:val="es-ES_tradnl"/>
        </w:rPr>
      </w:pPr>
    </w:p>
    <w:p w:rsidR="00955A99" w:rsidRPr="00334A8A" w:rsidRDefault="00955A99" w:rsidP="00955A99">
      <w:pPr>
        <w:jc w:val="center"/>
        <w:rPr>
          <w:rFonts w:ascii="Arial" w:hAnsi="Arial" w:cs="Arial"/>
          <w:sz w:val="28"/>
          <w:szCs w:val="28"/>
          <w:lang w:val="es-ES_tradnl"/>
        </w:rPr>
      </w:pPr>
    </w:p>
    <w:p w:rsidR="00955A99" w:rsidRPr="00334A8A" w:rsidRDefault="00955A99" w:rsidP="00955A99">
      <w:pPr>
        <w:jc w:val="center"/>
        <w:rPr>
          <w:rFonts w:ascii="Arial" w:hAnsi="Arial" w:cs="Arial"/>
          <w:sz w:val="28"/>
          <w:szCs w:val="28"/>
          <w:lang w:val="es-ES_tradnl"/>
        </w:rPr>
      </w:pPr>
      <w:r w:rsidRPr="0047021A">
        <w:rPr>
          <w:rFonts w:ascii="Arial" w:hAnsi="Arial" w:cs="Arial"/>
          <w:b/>
          <w:bCs/>
          <w:sz w:val="28"/>
          <w:szCs w:val="28"/>
          <w:lang w:val="es-ES_tradnl"/>
        </w:rPr>
        <w:t>GRADO Y GRUPO</w:t>
      </w:r>
      <w:r w:rsidRPr="00334A8A">
        <w:rPr>
          <w:rFonts w:ascii="Arial" w:hAnsi="Arial" w:cs="Arial"/>
          <w:sz w:val="28"/>
          <w:szCs w:val="28"/>
          <w:lang w:val="es-ES_tradnl"/>
        </w:rPr>
        <w:t>:</w:t>
      </w:r>
    </w:p>
    <w:p w:rsidR="00955A99" w:rsidRPr="00334A8A" w:rsidRDefault="00955A99" w:rsidP="00955A99">
      <w:pPr>
        <w:jc w:val="cente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r>
        <w:rPr>
          <w:rFonts w:ascii="Arial" w:hAnsi="Arial" w:cs="Arial"/>
          <w:sz w:val="28"/>
          <w:szCs w:val="28"/>
          <w:lang w:val="es-ES_tradnl"/>
        </w:rPr>
        <w:t>2°B</w:t>
      </w:r>
    </w:p>
    <w:p w:rsidR="00955A99" w:rsidRDefault="00955A99" w:rsidP="00955A99">
      <w:pPr>
        <w:jc w:val="cente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p>
    <w:p w:rsidR="00955A99" w:rsidRPr="0047021A" w:rsidRDefault="00955A99" w:rsidP="00955A99">
      <w:pPr>
        <w:jc w:val="center"/>
        <w:rPr>
          <w:rFonts w:ascii="Arial" w:hAnsi="Arial" w:cs="Arial"/>
          <w:b/>
          <w:bCs/>
          <w:sz w:val="28"/>
          <w:szCs w:val="28"/>
          <w:lang w:val="es-ES_tradnl"/>
        </w:rPr>
      </w:pPr>
      <w:r w:rsidRPr="0047021A">
        <w:rPr>
          <w:rFonts w:ascii="Arial" w:hAnsi="Arial" w:cs="Arial"/>
          <w:b/>
          <w:bCs/>
          <w:sz w:val="28"/>
          <w:szCs w:val="28"/>
          <w:lang w:val="es-ES_tradnl"/>
        </w:rPr>
        <w:t xml:space="preserve">CARRERA: </w:t>
      </w:r>
    </w:p>
    <w:p w:rsidR="00955A99" w:rsidRDefault="00955A99" w:rsidP="00955A99">
      <w:pPr>
        <w:jc w:val="center"/>
        <w:rPr>
          <w:rFonts w:ascii="Arial" w:hAnsi="Arial" w:cs="Arial"/>
          <w:sz w:val="28"/>
          <w:szCs w:val="28"/>
          <w:lang w:val="es-ES_tradnl"/>
        </w:rPr>
      </w:pPr>
    </w:p>
    <w:p w:rsidR="00955A99" w:rsidRPr="00334A8A" w:rsidRDefault="00955A99" w:rsidP="00955A99">
      <w:pPr>
        <w:jc w:val="center"/>
        <w:rPr>
          <w:rFonts w:ascii="Arial" w:hAnsi="Arial" w:cs="Arial"/>
          <w:sz w:val="28"/>
          <w:szCs w:val="28"/>
          <w:lang w:val="es-ES_tradnl"/>
        </w:rPr>
      </w:pPr>
      <w:r>
        <w:rPr>
          <w:rFonts w:ascii="Arial" w:hAnsi="Arial" w:cs="Arial"/>
          <w:sz w:val="28"/>
          <w:szCs w:val="28"/>
          <w:lang w:val="es-ES_tradnl"/>
        </w:rPr>
        <w:t>LICENCIATURA MEDICO CIRUJANO</w:t>
      </w:r>
    </w:p>
    <w:p w:rsidR="00955A99" w:rsidRPr="00334A8A" w:rsidRDefault="00955A99" w:rsidP="00955A99">
      <w:pPr>
        <w:jc w:val="cente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p>
    <w:p w:rsidR="00955A99" w:rsidRPr="0047021A" w:rsidRDefault="00955A99" w:rsidP="00955A99">
      <w:pPr>
        <w:jc w:val="center"/>
        <w:rPr>
          <w:rFonts w:ascii="Arial" w:hAnsi="Arial" w:cs="Arial"/>
          <w:b/>
          <w:bCs/>
          <w:sz w:val="28"/>
          <w:szCs w:val="28"/>
          <w:lang w:val="es-ES_tradnl"/>
        </w:rPr>
      </w:pPr>
      <w:r w:rsidRPr="0047021A">
        <w:rPr>
          <w:rFonts w:ascii="Arial" w:hAnsi="Arial" w:cs="Arial"/>
          <w:b/>
          <w:bCs/>
          <w:sz w:val="28"/>
          <w:szCs w:val="28"/>
          <w:lang w:val="es-ES_tradnl"/>
        </w:rPr>
        <w:t>MATERIA:</w:t>
      </w:r>
    </w:p>
    <w:p w:rsidR="00955A99" w:rsidRDefault="00955A99" w:rsidP="00955A99">
      <w:pPr>
        <w:jc w:val="cente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r>
        <w:rPr>
          <w:rFonts w:ascii="Arial" w:hAnsi="Arial" w:cs="Arial"/>
          <w:sz w:val="28"/>
          <w:szCs w:val="28"/>
          <w:lang w:val="es-ES_tradnl"/>
        </w:rPr>
        <w:t>SALUD PUBLICA II</w:t>
      </w:r>
    </w:p>
    <w:p w:rsidR="00955A99" w:rsidRDefault="00955A99" w:rsidP="00955A99">
      <w:pPr>
        <w:rPr>
          <w:rFonts w:ascii="Arial" w:hAnsi="Arial" w:cs="Arial"/>
          <w:sz w:val="28"/>
          <w:szCs w:val="28"/>
          <w:lang w:val="es-ES_tradnl"/>
        </w:rPr>
      </w:pPr>
    </w:p>
    <w:p w:rsidR="00955A99" w:rsidRDefault="00955A99" w:rsidP="00955A99">
      <w:pPr>
        <w:jc w:val="center"/>
        <w:rPr>
          <w:rFonts w:ascii="Arial" w:hAnsi="Arial" w:cs="Arial"/>
          <w:sz w:val="28"/>
          <w:szCs w:val="28"/>
          <w:lang w:val="es-ES_tradnl"/>
        </w:rPr>
      </w:pPr>
    </w:p>
    <w:p w:rsidR="00955A99" w:rsidRPr="0047021A" w:rsidRDefault="00955A99" w:rsidP="00955A99">
      <w:pPr>
        <w:jc w:val="center"/>
        <w:rPr>
          <w:rFonts w:ascii="Arial" w:hAnsi="Arial" w:cs="Arial"/>
          <w:b/>
          <w:bCs/>
          <w:sz w:val="28"/>
          <w:szCs w:val="28"/>
          <w:lang w:val="es-ES_tradnl"/>
        </w:rPr>
      </w:pPr>
      <w:r w:rsidRPr="0047021A">
        <w:rPr>
          <w:rFonts w:ascii="Arial" w:hAnsi="Arial" w:cs="Arial"/>
          <w:b/>
          <w:bCs/>
          <w:sz w:val="28"/>
          <w:szCs w:val="28"/>
          <w:lang w:val="es-ES_tradnl"/>
        </w:rPr>
        <w:t>DOCENTE</w:t>
      </w:r>
    </w:p>
    <w:p w:rsidR="00955A99" w:rsidRPr="0047021A" w:rsidRDefault="00955A99" w:rsidP="00955A99">
      <w:pPr>
        <w:jc w:val="center"/>
        <w:rPr>
          <w:rFonts w:ascii="Arial" w:hAnsi="Arial" w:cs="Arial"/>
          <w:b/>
          <w:bCs/>
          <w:sz w:val="28"/>
          <w:szCs w:val="28"/>
          <w:lang w:val="es-ES_tradnl"/>
        </w:rPr>
      </w:pPr>
    </w:p>
    <w:p w:rsidR="00955A99" w:rsidRPr="00334A8A" w:rsidRDefault="00955A99" w:rsidP="00955A99">
      <w:pPr>
        <w:jc w:val="center"/>
        <w:rPr>
          <w:rFonts w:ascii="Arial" w:hAnsi="Arial" w:cs="Arial"/>
          <w:sz w:val="28"/>
          <w:szCs w:val="28"/>
          <w:lang w:val="es-ES_tradnl"/>
        </w:rPr>
      </w:pPr>
      <w:r w:rsidRPr="00334A8A">
        <w:rPr>
          <w:rFonts w:ascii="Arial" w:hAnsi="Arial" w:cs="Arial"/>
          <w:sz w:val="28"/>
          <w:szCs w:val="28"/>
          <w:lang w:val="es-ES_tradnl"/>
        </w:rPr>
        <w:t>DR</w:t>
      </w:r>
      <w:r>
        <w:rPr>
          <w:rFonts w:ascii="Arial" w:hAnsi="Arial" w:cs="Arial"/>
          <w:sz w:val="28"/>
          <w:szCs w:val="28"/>
          <w:lang w:val="es-ES_tradnl"/>
        </w:rPr>
        <w:t xml:space="preserve">A. IRMA </w:t>
      </w:r>
      <w:proofErr w:type="gramStart"/>
      <w:r>
        <w:rPr>
          <w:rFonts w:ascii="Arial" w:hAnsi="Arial" w:cs="Arial"/>
          <w:sz w:val="28"/>
          <w:szCs w:val="28"/>
          <w:lang w:val="es-ES_tradnl"/>
        </w:rPr>
        <w:t>SANCHEZ  PRIETO</w:t>
      </w:r>
      <w:proofErr w:type="gramEnd"/>
      <w:r>
        <w:rPr>
          <w:rFonts w:ascii="Arial" w:hAnsi="Arial" w:cs="Arial"/>
          <w:sz w:val="28"/>
          <w:szCs w:val="28"/>
          <w:lang w:val="es-ES_tradnl"/>
        </w:rPr>
        <w:t xml:space="preserve">  </w:t>
      </w:r>
    </w:p>
    <w:p w:rsidR="00955A99" w:rsidRPr="00334A8A" w:rsidRDefault="00955A99" w:rsidP="00955A99">
      <w:pPr>
        <w:rPr>
          <w:rFonts w:ascii="Arial" w:hAnsi="Arial" w:cs="Arial"/>
          <w:sz w:val="28"/>
          <w:szCs w:val="28"/>
          <w:lang w:val="es-ES_tradnl"/>
        </w:rPr>
      </w:pPr>
    </w:p>
    <w:p w:rsidR="00955A99" w:rsidRDefault="00955A99" w:rsidP="00955A99">
      <w:pPr>
        <w:jc w:val="right"/>
        <w:rPr>
          <w:rFonts w:ascii="Arial" w:hAnsi="Arial" w:cs="Arial"/>
          <w:b/>
          <w:bCs/>
          <w:sz w:val="28"/>
          <w:szCs w:val="28"/>
          <w:lang w:val="es-ES_tradnl"/>
        </w:rPr>
      </w:pPr>
    </w:p>
    <w:p w:rsidR="00955A99" w:rsidRPr="00955A99" w:rsidRDefault="00955A99" w:rsidP="00955A99">
      <w:pPr>
        <w:jc w:val="right"/>
        <w:rPr>
          <w:rFonts w:ascii="Arial" w:hAnsi="Arial" w:cs="Arial"/>
          <w:b/>
          <w:bCs/>
          <w:sz w:val="28"/>
          <w:szCs w:val="28"/>
          <w:lang w:val="es-ES_tradnl"/>
        </w:rPr>
      </w:pPr>
      <w:r w:rsidRPr="00A16876">
        <w:rPr>
          <w:rFonts w:ascii="Arial" w:hAnsi="Arial" w:cs="Arial"/>
          <w:b/>
          <w:bCs/>
          <w:sz w:val="28"/>
          <w:szCs w:val="28"/>
          <w:lang w:val="es-ES_tradnl"/>
        </w:rPr>
        <w:t>TAPACHULA, CHIAPAS A MA</w:t>
      </w:r>
      <w:r>
        <w:rPr>
          <w:rFonts w:ascii="Arial" w:hAnsi="Arial" w:cs="Arial"/>
          <w:b/>
          <w:bCs/>
          <w:sz w:val="28"/>
          <w:szCs w:val="28"/>
          <w:lang w:val="es-ES_tradnl"/>
        </w:rPr>
        <w:t xml:space="preserve">YO </w:t>
      </w:r>
      <w:r w:rsidRPr="00A16876">
        <w:rPr>
          <w:rFonts w:ascii="Arial" w:hAnsi="Arial" w:cs="Arial"/>
          <w:b/>
          <w:bCs/>
          <w:sz w:val="28"/>
          <w:szCs w:val="28"/>
          <w:lang w:val="es-ES_tradnl"/>
        </w:rPr>
        <w:t>2025</w:t>
      </w:r>
    </w:p>
    <w:p w:rsidR="00955A99" w:rsidRPr="00955A99" w:rsidRDefault="00955A99" w:rsidP="00955A99">
      <w:pPr>
        <w:jc w:val="center"/>
        <w:rPr>
          <w:color w:val="000000" w:themeColor="text1"/>
          <w:sz w:val="28"/>
          <w:szCs w:val="28"/>
          <w:lang w:eastAsia="es-MX"/>
        </w:rPr>
      </w:pPr>
      <w:r w:rsidRPr="00955A99">
        <w:rPr>
          <w:color w:val="000000" w:themeColor="text1"/>
          <w:sz w:val="28"/>
          <w:szCs w:val="28"/>
          <w:lang w:eastAsia="es-MX"/>
        </w:rPr>
        <w:lastRenderedPageBreak/>
        <w:t>ÍNDICE</w:t>
      </w:r>
    </w:p>
    <w:sdt>
      <w:sdtPr>
        <w:rPr>
          <w:rFonts w:asciiTheme="minorHAnsi" w:eastAsiaTheme="minorHAnsi" w:hAnsiTheme="minorHAnsi" w:cstheme="minorBidi"/>
          <w:b w:val="0"/>
          <w:bCs w:val="0"/>
          <w:color w:val="auto"/>
          <w:kern w:val="2"/>
          <w:sz w:val="24"/>
          <w:szCs w:val="24"/>
          <w:lang w:val="es-ES" w:eastAsia="en-US"/>
          <w14:ligatures w14:val="standardContextual"/>
        </w:rPr>
        <w:id w:val="-694532547"/>
        <w:docPartObj>
          <w:docPartGallery w:val="Table of Contents"/>
          <w:docPartUnique/>
        </w:docPartObj>
      </w:sdtPr>
      <w:sdtEndPr>
        <w:rPr>
          <w:noProof/>
          <w:lang w:val="es-MX"/>
        </w:rPr>
      </w:sdtEndPr>
      <w:sdtContent>
        <w:p w:rsidR="00955A99" w:rsidRDefault="00955A99" w:rsidP="00955A99">
          <w:pPr>
            <w:pStyle w:val="TtuloTDC"/>
            <w:spacing w:line="480" w:lineRule="auto"/>
          </w:pPr>
        </w:p>
        <w:p w:rsidR="00E939E3" w:rsidRDefault="00955A99">
          <w:pPr>
            <w:pStyle w:val="TDC1"/>
            <w:tabs>
              <w:tab w:val="right" w:leader="dot" w:pos="8828"/>
            </w:tabs>
            <w:rPr>
              <w:rFonts w:eastAsiaTheme="minorEastAsia" w:cstheme="minorBidi"/>
              <w:b w:val="0"/>
              <w:bCs w:val="0"/>
              <w:caps w:val="0"/>
              <w:noProof/>
              <w:sz w:val="24"/>
              <w:szCs w:val="24"/>
              <w:lang w:eastAsia="es-MX"/>
            </w:rPr>
          </w:pPr>
          <w:r>
            <w:rPr>
              <w:b w:val="0"/>
              <w:bCs w:val="0"/>
            </w:rPr>
            <w:fldChar w:fldCharType="begin"/>
          </w:r>
          <w:r>
            <w:instrText>TOC \o "1-3" \h \z \u</w:instrText>
          </w:r>
          <w:r>
            <w:rPr>
              <w:b w:val="0"/>
              <w:bCs w:val="0"/>
            </w:rPr>
            <w:fldChar w:fldCharType="separate"/>
          </w:r>
          <w:hyperlink w:anchor="_Toc199788341" w:history="1">
            <w:r w:rsidR="00E939E3" w:rsidRPr="0030222D">
              <w:rPr>
                <w:rStyle w:val="Hipervnculo"/>
                <w:noProof/>
                <w:lang w:eastAsia="es-MX"/>
              </w:rPr>
              <w:t>1.- EXPANSIÓN DE LA INFRAESTRUCTURA HOSPITALARIA</w:t>
            </w:r>
            <w:r w:rsidR="00E939E3">
              <w:rPr>
                <w:noProof/>
                <w:webHidden/>
              </w:rPr>
              <w:tab/>
            </w:r>
            <w:r w:rsidR="00E939E3">
              <w:rPr>
                <w:noProof/>
                <w:webHidden/>
              </w:rPr>
              <w:fldChar w:fldCharType="begin"/>
            </w:r>
            <w:r w:rsidR="00E939E3">
              <w:rPr>
                <w:noProof/>
                <w:webHidden/>
              </w:rPr>
              <w:instrText xml:space="preserve"> PAGEREF _Toc199788341 \h </w:instrText>
            </w:r>
            <w:r w:rsidR="00E939E3">
              <w:rPr>
                <w:noProof/>
                <w:webHidden/>
              </w:rPr>
            </w:r>
            <w:r w:rsidR="00E939E3">
              <w:rPr>
                <w:noProof/>
                <w:webHidden/>
              </w:rPr>
              <w:fldChar w:fldCharType="separate"/>
            </w:r>
            <w:r w:rsidR="00E939E3">
              <w:rPr>
                <w:noProof/>
                <w:webHidden/>
              </w:rPr>
              <w:t>3</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2" w:history="1">
            <w:r w:rsidR="00E939E3" w:rsidRPr="0030222D">
              <w:rPr>
                <w:rStyle w:val="Hipervnculo"/>
                <w:noProof/>
                <w:lang w:eastAsia="es-MX"/>
              </w:rPr>
              <w:t>2. CONTRATACIÓN DE PERSONAL MÉDICO</w:t>
            </w:r>
            <w:r w:rsidR="00E939E3">
              <w:rPr>
                <w:noProof/>
                <w:webHidden/>
              </w:rPr>
              <w:tab/>
            </w:r>
            <w:r w:rsidR="00E939E3">
              <w:rPr>
                <w:noProof/>
                <w:webHidden/>
              </w:rPr>
              <w:fldChar w:fldCharType="begin"/>
            </w:r>
            <w:r w:rsidR="00E939E3">
              <w:rPr>
                <w:noProof/>
                <w:webHidden/>
              </w:rPr>
              <w:instrText xml:space="preserve"> PAGEREF _Toc199788342 \h </w:instrText>
            </w:r>
            <w:r w:rsidR="00E939E3">
              <w:rPr>
                <w:noProof/>
                <w:webHidden/>
              </w:rPr>
            </w:r>
            <w:r w:rsidR="00E939E3">
              <w:rPr>
                <w:noProof/>
                <w:webHidden/>
              </w:rPr>
              <w:fldChar w:fldCharType="separate"/>
            </w:r>
            <w:r w:rsidR="00E939E3">
              <w:rPr>
                <w:noProof/>
                <w:webHidden/>
              </w:rPr>
              <w:t>3</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3" w:history="1">
            <w:r w:rsidR="00E939E3" w:rsidRPr="0030222D">
              <w:rPr>
                <w:rStyle w:val="Hipervnculo"/>
                <w:noProof/>
                <w:lang w:eastAsia="es-MX"/>
              </w:rPr>
              <w:t>3. REFORZAMIENTO DEL PRIMER NIVEL DE ATENCIÓN</w:t>
            </w:r>
            <w:r w:rsidR="00E939E3">
              <w:rPr>
                <w:noProof/>
                <w:webHidden/>
              </w:rPr>
              <w:tab/>
            </w:r>
            <w:r w:rsidR="00E939E3">
              <w:rPr>
                <w:noProof/>
                <w:webHidden/>
              </w:rPr>
              <w:fldChar w:fldCharType="begin"/>
            </w:r>
            <w:r w:rsidR="00E939E3">
              <w:rPr>
                <w:noProof/>
                <w:webHidden/>
              </w:rPr>
              <w:instrText xml:space="preserve"> PAGEREF _Toc199788343 \h </w:instrText>
            </w:r>
            <w:r w:rsidR="00E939E3">
              <w:rPr>
                <w:noProof/>
                <w:webHidden/>
              </w:rPr>
            </w:r>
            <w:r w:rsidR="00E939E3">
              <w:rPr>
                <w:noProof/>
                <w:webHidden/>
              </w:rPr>
              <w:fldChar w:fldCharType="separate"/>
            </w:r>
            <w:r w:rsidR="00E939E3">
              <w:rPr>
                <w:noProof/>
                <w:webHidden/>
              </w:rPr>
              <w:t>3</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4" w:history="1">
            <w:r w:rsidR="00E939E3" w:rsidRPr="0030222D">
              <w:rPr>
                <w:rStyle w:val="Hipervnculo"/>
                <w:noProof/>
                <w:lang w:eastAsia="es-MX"/>
              </w:rPr>
              <w:t>4. COMPRA CONSOLIDADA DE MEDICAMENTOS E INSUMOS (2025-2026)</w:t>
            </w:r>
            <w:r w:rsidR="00E939E3">
              <w:rPr>
                <w:noProof/>
                <w:webHidden/>
              </w:rPr>
              <w:tab/>
            </w:r>
            <w:r w:rsidR="00E939E3">
              <w:rPr>
                <w:noProof/>
                <w:webHidden/>
              </w:rPr>
              <w:fldChar w:fldCharType="begin"/>
            </w:r>
            <w:r w:rsidR="00E939E3">
              <w:rPr>
                <w:noProof/>
                <w:webHidden/>
              </w:rPr>
              <w:instrText xml:space="preserve"> PAGEREF _Toc199788344 \h </w:instrText>
            </w:r>
            <w:r w:rsidR="00E939E3">
              <w:rPr>
                <w:noProof/>
                <w:webHidden/>
              </w:rPr>
            </w:r>
            <w:r w:rsidR="00E939E3">
              <w:rPr>
                <w:noProof/>
                <w:webHidden/>
              </w:rPr>
              <w:fldChar w:fldCharType="separate"/>
            </w:r>
            <w:r w:rsidR="00E939E3">
              <w:rPr>
                <w:noProof/>
                <w:webHidden/>
              </w:rPr>
              <w:t>3</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5" w:history="1">
            <w:r w:rsidR="00E939E3" w:rsidRPr="0030222D">
              <w:rPr>
                <w:rStyle w:val="Hipervnculo"/>
                <w:noProof/>
                <w:lang w:eastAsia="es-MX"/>
              </w:rPr>
              <w:t>5.- IMPLEMENTACIÓN DE PROTOCOLOS NACIONALES DE ATENCIÓN MÉDICA (PRONAM)</w:t>
            </w:r>
            <w:r w:rsidR="00E939E3">
              <w:rPr>
                <w:noProof/>
                <w:webHidden/>
              </w:rPr>
              <w:tab/>
            </w:r>
            <w:r w:rsidR="00E939E3">
              <w:rPr>
                <w:noProof/>
                <w:webHidden/>
              </w:rPr>
              <w:fldChar w:fldCharType="begin"/>
            </w:r>
            <w:r w:rsidR="00E939E3">
              <w:rPr>
                <w:noProof/>
                <w:webHidden/>
              </w:rPr>
              <w:instrText xml:space="preserve"> PAGEREF _Toc199788345 \h </w:instrText>
            </w:r>
            <w:r w:rsidR="00E939E3">
              <w:rPr>
                <w:noProof/>
                <w:webHidden/>
              </w:rPr>
            </w:r>
            <w:r w:rsidR="00E939E3">
              <w:rPr>
                <w:noProof/>
                <w:webHidden/>
              </w:rPr>
              <w:fldChar w:fldCharType="separate"/>
            </w:r>
            <w:r w:rsidR="00E939E3">
              <w:rPr>
                <w:noProof/>
                <w:webHidden/>
              </w:rPr>
              <w:t>4</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6" w:history="1">
            <w:r w:rsidR="00E939E3" w:rsidRPr="0030222D">
              <w:rPr>
                <w:rStyle w:val="Hipervnculo"/>
                <w:noProof/>
                <w:lang w:eastAsia="es-MX"/>
              </w:rPr>
              <w:t>6.- CONCLUSIONES</w:t>
            </w:r>
            <w:r w:rsidR="00E939E3">
              <w:rPr>
                <w:noProof/>
                <w:webHidden/>
              </w:rPr>
              <w:tab/>
            </w:r>
            <w:r w:rsidR="00E939E3">
              <w:rPr>
                <w:noProof/>
                <w:webHidden/>
              </w:rPr>
              <w:fldChar w:fldCharType="begin"/>
            </w:r>
            <w:r w:rsidR="00E939E3">
              <w:rPr>
                <w:noProof/>
                <w:webHidden/>
              </w:rPr>
              <w:instrText xml:space="preserve"> PAGEREF _Toc199788346 \h </w:instrText>
            </w:r>
            <w:r w:rsidR="00E939E3">
              <w:rPr>
                <w:noProof/>
                <w:webHidden/>
              </w:rPr>
            </w:r>
            <w:r w:rsidR="00E939E3">
              <w:rPr>
                <w:noProof/>
                <w:webHidden/>
              </w:rPr>
              <w:fldChar w:fldCharType="separate"/>
            </w:r>
            <w:r w:rsidR="00E939E3">
              <w:rPr>
                <w:noProof/>
                <w:webHidden/>
              </w:rPr>
              <w:t>4</w:t>
            </w:r>
            <w:r w:rsidR="00E939E3">
              <w:rPr>
                <w:noProof/>
                <w:webHidden/>
              </w:rPr>
              <w:fldChar w:fldCharType="end"/>
            </w:r>
          </w:hyperlink>
        </w:p>
        <w:p w:rsidR="00E939E3" w:rsidRDefault="00000000">
          <w:pPr>
            <w:pStyle w:val="TDC1"/>
            <w:tabs>
              <w:tab w:val="right" w:leader="dot" w:pos="8828"/>
            </w:tabs>
            <w:rPr>
              <w:rFonts w:eastAsiaTheme="minorEastAsia" w:cstheme="minorBidi"/>
              <w:b w:val="0"/>
              <w:bCs w:val="0"/>
              <w:caps w:val="0"/>
              <w:noProof/>
              <w:sz w:val="24"/>
              <w:szCs w:val="24"/>
              <w:lang w:eastAsia="es-MX"/>
            </w:rPr>
          </w:pPr>
          <w:hyperlink w:anchor="_Toc199788347" w:history="1">
            <w:r w:rsidR="00E939E3" w:rsidRPr="0030222D">
              <w:rPr>
                <w:rStyle w:val="Hipervnculo"/>
                <w:noProof/>
                <w:lang w:eastAsia="es-MX"/>
              </w:rPr>
              <w:t>7.- BIBLIOGRAFIA</w:t>
            </w:r>
            <w:r w:rsidR="00E939E3">
              <w:rPr>
                <w:noProof/>
                <w:webHidden/>
              </w:rPr>
              <w:tab/>
            </w:r>
            <w:r w:rsidR="00E939E3">
              <w:rPr>
                <w:noProof/>
                <w:webHidden/>
              </w:rPr>
              <w:fldChar w:fldCharType="begin"/>
            </w:r>
            <w:r w:rsidR="00E939E3">
              <w:rPr>
                <w:noProof/>
                <w:webHidden/>
              </w:rPr>
              <w:instrText xml:space="preserve"> PAGEREF _Toc199788347 \h </w:instrText>
            </w:r>
            <w:r w:rsidR="00E939E3">
              <w:rPr>
                <w:noProof/>
                <w:webHidden/>
              </w:rPr>
            </w:r>
            <w:r w:rsidR="00E939E3">
              <w:rPr>
                <w:noProof/>
                <w:webHidden/>
              </w:rPr>
              <w:fldChar w:fldCharType="separate"/>
            </w:r>
            <w:r w:rsidR="00E939E3">
              <w:rPr>
                <w:noProof/>
                <w:webHidden/>
              </w:rPr>
              <w:t>4</w:t>
            </w:r>
            <w:r w:rsidR="00E939E3">
              <w:rPr>
                <w:noProof/>
                <w:webHidden/>
              </w:rPr>
              <w:fldChar w:fldCharType="end"/>
            </w:r>
          </w:hyperlink>
        </w:p>
        <w:p w:rsidR="00955A99" w:rsidRDefault="00955A99" w:rsidP="00955A99">
          <w:pPr>
            <w:spacing w:line="480" w:lineRule="auto"/>
          </w:pPr>
          <w:r>
            <w:rPr>
              <w:b/>
              <w:bCs/>
              <w:noProof/>
            </w:rPr>
            <w:fldChar w:fldCharType="end"/>
          </w:r>
        </w:p>
      </w:sdtContent>
    </w:sdt>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955A99" w:rsidRDefault="00955A99" w:rsidP="009B4913">
      <w:pPr>
        <w:rPr>
          <w:color w:val="000000" w:themeColor="text1"/>
          <w:lang w:eastAsia="es-MX"/>
        </w:rPr>
      </w:pPr>
    </w:p>
    <w:p w:rsidR="00E939E3" w:rsidRDefault="00E939E3" w:rsidP="009B4913">
      <w:pPr>
        <w:rPr>
          <w:color w:val="000000" w:themeColor="text1"/>
          <w:lang w:eastAsia="es-MX"/>
        </w:rPr>
      </w:pPr>
    </w:p>
    <w:p w:rsidR="00E939E3" w:rsidRDefault="00E939E3" w:rsidP="009B4913">
      <w:pPr>
        <w:rPr>
          <w:color w:val="000000" w:themeColor="text1"/>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lastRenderedPageBreak/>
        <w:t>ANÁLISIS DEL ANUNCIO DE INFRAESTRUCTURA Y FORTALECIMIENTO DEL SISTEMA DE SALUD EN MÉXICO (2025)</w:t>
      </w:r>
    </w:p>
    <w:p w:rsidR="009B4913" w:rsidRPr="009B4913" w:rsidRDefault="009B4913" w:rsidP="00C60195">
      <w:pPr>
        <w:jc w:val="both"/>
        <w:rPr>
          <w:color w:val="000000" w:themeColor="text1"/>
          <w:lang w:eastAsia="es-MX"/>
        </w:rPr>
      </w:pPr>
    </w:p>
    <w:p w:rsidR="009B4913" w:rsidRDefault="009B4913" w:rsidP="00C60195">
      <w:pPr>
        <w:jc w:val="both"/>
        <w:rPr>
          <w:color w:val="000000" w:themeColor="text1"/>
          <w:lang w:eastAsia="es-MX"/>
        </w:rPr>
      </w:pPr>
    </w:p>
    <w:p w:rsidR="009B4913" w:rsidRPr="00955A99" w:rsidRDefault="009B4913" w:rsidP="00C60195">
      <w:pPr>
        <w:pStyle w:val="Ttulo1"/>
        <w:jc w:val="both"/>
        <w:rPr>
          <w:color w:val="000000" w:themeColor="text1"/>
          <w:sz w:val="28"/>
          <w:szCs w:val="28"/>
          <w:lang w:eastAsia="es-MX"/>
        </w:rPr>
      </w:pPr>
      <w:bookmarkStart w:id="0" w:name="_Toc199788341"/>
      <w:r w:rsidRPr="00955A99">
        <w:rPr>
          <w:color w:val="000000" w:themeColor="text1"/>
          <w:sz w:val="28"/>
          <w:szCs w:val="28"/>
          <w:lang w:eastAsia="es-MX"/>
        </w:rPr>
        <w:t xml:space="preserve">1.- </w:t>
      </w:r>
      <w:r w:rsidRPr="00E939E3">
        <w:rPr>
          <w:color w:val="000000" w:themeColor="text1"/>
          <w:sz w:val="28"/>
          <w:szCs w:val="28"/>
          <w:lang w:eastAsia="es-MX"/>
        </w:rPr>
        <w:t>EXPANSIÓN DE LA INFRAESTRUCTURA HOSPITALARIA</w:t>
      </w:r>
      <w:bookmarkEnd w:id="0"/>
    </w:p>
    <w:p w:rsidR="009B4913" w:rsidRPr="009B4913" w:rsidRDefault="009B4913" w:rsidP="00C60195">
      <w:pPr>
        <w:jc w:val="both"/>
        <w:rPr>
          <w:color w:val="000000" w:themeColor="text1"/>
          <w:sz w:val="22"/>
          <w:szCs w:val="22"/>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La presidenta Claudia Sheinbaum anunció la inauguración de una gran cantidad de unidades médicas en 2025, lo que representa una expansión significativa del sistema nacional de salud. En total:</w:t>
      </w:r>
    </w:p>
    <w:p w:rsidR="009B4913" w:rsidRPr="009B4913" w:rsidRDefault="009B4913" w:rsidP="00C60195">
      <w:pPr>
        <w:pStyle w:val="Prrafodelista"/>
        <w:numPr>
          <w:ilvl w:val="0"/>
          <w:numId w:val="3"/>
        </w:numPr>
        <w:jc w:val="both"/>
        <w:rPr>
          <w:color w:val="000000" w:themeColor="text1"/>
          <w:lang w:eastAsia="es-MX"/>
        </w:rPr>
      </w:pPr>
      <w:r w:rsidRPr="009B4913">
        <w:rPr>
          <w:color w:val="000000" w:themeColor="text1"/>
          <w:lang w:eastAsia="es-MX"/>
        </w:rPr>
        <w:t>9 hospitales del IMSS</w:t>
      </w:r>
    </w:p>
    <w:p w:rsidR="009B4913" w:rsidRPr="009B4913" w:rsidRDefault="009B4913" w:rsidP="00C60195">
      <w:pPr>
        <w:pStyle w:val="Prrafodelista"/>
        <w:numPr>
          <w:ilvl w:val="0"/>
          <w:numId w:val="3"/>
        </w:numPr>
        <w:jc w:val="both"/>
        <w:rPr>
          <w:color w:val="000000" w:themeColor="text1"/>
          <w:lang w:eastAsia="es-MX"/>
        </w:rPr>
      </w:pPr>
      <w:r w:rsidRPr="009B4913">
        <w:rPr>
          <w:color w:val="000000" w:themeColor="text1"/>
          <w:lang w:eastAsia="es-MX"/>
        </w:rPr>
        <w:t>19 hospitales del IMSS-Bienestar</w:t>
      </w:r>
    </w:p>
    <w:p w:rsidR="009B4913" w:rsidRPr="009B4913" w:rsidRDefault="009B4913" w:rsidP="00C60195">
      <w:pPr>
        <w:pStyle w:val="Prrafodelista"/>
        <w:numPr>
          <w:ilvl w:val="0"/>
          <w:numId w:val="3"/>
        </w:numPr>
        <w:jc w:val="both"/>
        <w:rPr>
          <w:color w:val="000000" w:themeColor="text1"/>
          <w:lang w:eastAsia="es-MX"/>
        </w:rPr>
      </w:pPr>
      <w:r w:rsidRPr="009B4913">
        <w:rPr>
          <w:color w:val="000000" w:themeColor="text1"/>
          <w:lang w:eastAsia="es-MX"/>
        </w:rPr>
        <w:t>5 hospitales del ISSSTE</w:t>
      </w:r>
    </w:p>
    <w:p w:rsidR="009B4913" w:rsidRPr="009B4913" w:rsidRDefault="009B4913" w:rsidP="00C60195">
      <w:pPr>
        <w:pStyle w:val="Prrafodelista"/>
        <w:numPr>
          <w:ilvl w:val="0"/>
          <w:numId w:val="3"/>
        </w:numPr>
        <w:jc w:val="both"/>
        <w:rPr>
          <w:color w:val="000000" w:themeColor="text1"/>
          <w:lang w:eastAsia="es-MX"/>
        </w:rPr>
      </w:pPr>
      <w:r w:rsidRPr="009B4913">
        <w:rPr>
          <w:color w:val="000000" w:themeColor="text1"/>
          <w:lang w:eastAsia="es-MX"/>
        </w:rPr>
        <w:t>6 Unidades de Medicina Familiar (UMF) del IMSS</w:t>
      </w:r>
    </w:p>
    <w:p w:rsidR="009B4913" w:rsidRPr="009B4913" w:rsidRDefault="009B4913" w:rsidP="00C60195">
      <w:pPr>
        <w:pStyle w:val="Prrafodelista"/>
        <w:numPr>
          <w:ilvl w:val="0"/>
          <w:numId w:val="3"/>
        </w:numPr>
        <w:jc w:val="both"/>
        <w:rPr>
          <w:color w:val="000000" w:themeColor="text1"/>
          <w:lang w:eastAsia="es-MX"/>
        </w:rPr>
      </w:pPr>
      <w:r w:rsidRPr="009B4913">
        <w:rPr>
          <w:color w:val="000000" w:themeColor="text1"/>
          <w:lang w:eastAsia="es-MX"/>
        </w:rPr>
        <w:t>8 clínicas del IMSS-Bienestar</w:t>
      </w:r>
    </w:p>
    <w:p w:rsidR="009B4913" w:rsidRPr="00955A99" w:rsidRDefault="009B4913" w:rsidP="00C60195">
      <w:pPr>
        <w:jc w:val="both"/>
        <w:rPr>
          <w:color w:val="000000" w:themeColor="text1"/>
          <w:lang w:eastAsia="es-MX"/>
        </w:rPr>
      </w:pPr>
      <w:r w:rsidRPr="009B4913">
        <w:rPr>
          <w:color w:val="000000" w:themeColor="text1"/>
          <w:lang w:eastAsia="es-MX"/>
        </w:rPr>
        <w:br/>
        <w:t>Esto responde a la demanda histórica por una mayor cobertura y calidad en los servicios de salud. La inauguración de nuevas instalaciones no solo impactará en el acceso geográfico, sino también en la especialización de servicios (por ejemplo, hospitales materno-infantiles, de ortopedia, oncología, etc.).</w:t>
      </w:r>
    </w:p>
    <w:p w:rsidR="009B4913" w:rsidRPr="00955A99" w:rsidRDefault="009B4913" w:rsidP="00C60195">
      <w:pPr>
        <w:pStyle w:val="Ttulo1"/>
        <w:jc w:val="both"/>
        <w:rPr>
          <w:color w:val="000000" w:themeColor="text1"/>
          <w:sz w:val="28"/>
          <w:szCs w:val="28"/>
          <w:lang w:eastAsia="es-MX"/>
        </w:rPr>
      </w:pPr>
      <w:bookmarkStart w:id="1" w:name="_Toc199788342"/>
      <w:r w:rsidRPr="00955A99">
        <w:rPr>
          <w:color w:val="000000" w:themeColor="text1"/>
          <w:sz w:val="28"/>
          <w:szCs w:val="28"/>
          <w:lang w:eastAsia="es-MX"/>
        </w:rPr>
        <w:t>2. CONTRATACIÓN DE PERSONAL MÉDICO</w:t>
      </w:r>
      <w:bookmarkEnd w:id="1"/>
    </w:p>
    <w:p w:rsidR="00955A99" w:rsidRPr="009B4913" w:rsidRDefault="00955A99" w:rsidP="00C60195">
      <w:pPr>
        <w:jc w:val="both"/>
        <w:rPr>
          <w:color w:val="000000" w:themeColor="text1"/>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Se anunció la contratación de 7,500 médicos y médicas, en su mayoría destinados a las nuevas unidades médicas.</w:t>
      </w:r>
      <w:r>
        <w:rPr>
          <w:color w:val="000000" w:themeColor="text1"/>
          <w:lang w:eastAsia="es-MX"/>
        </w:rPr>
        <w:t xml:space="preserve"> </w:t>
      </w:r>
      <w:r w:rsidRPr="009B4913">
        <w:rPr>
          <w:color w:val="000000" w:themeColor="text1"/>
          <w:lang w:eastAsia="es-MX"/>
        </w:rPr>
        <w:t>Es una medida fundamental para evitar el fenómeno de “hospitales sin personal”. Sin embargo, el verdadero reto estará en garantizar que estos profesionales estén adecuadamente distribuidos y permanezcan en sus puestos, especialmente en zonas rurales o marginadas.</w:t>
      </w:r>
    </w:p>
    <w:p w:rsidR="009B4913" w:rsidRPr="009B4913" w:rsidRDefault="009B4913" w:rsidP="00C60195">
      <w:pPr>
        <w:jc w:val="both"/>
        <w:rPr>
          <w:color w:val="000000" w:themeColor="text1"/>
          <w:lang w:eastAsia="es-MX"/>
        </w:rPr>
      </w:pPr>
    </w:p>
    <w:p w:rsidR="009B4913" w:rsidRPr="00955A99" w:rsidRDefault="009B4913" w:rsidP="00C60195">
      <w:pPr>
        <w:pStyle w:val="Ttulo1"/>
        <w:jc w:val="both"/>
        <w:rPr>
          <w:color w:val="000000" w:themeColor="text1"/>
          <w:sz w:val="28"/>
          <w:szCs w:val="28"/>
          <w:lang w:eastAsia="es-MX"/>
        </w:rPr>
      </w:pPr>
      <w:bookmarkStart w:id="2" w:name="_Toc199788343"/>
      <w:r w:rsidRPr="00955A99">
        <w:rPr>
          <w:color w:val="000000" w:themeColor="text1"/>
          <w:sz w:val="28"/>
          <w:szCs w:val="28"/>
          <w:lang w:eastAsia="es-MX"/>
        </w:rPr>
        <w:t>3. REFORZAMIENTO DEL PRIMER NIVEL DE ATENCIÓN</w:t>
      </w:r>
      <w:bookmarkEnd w:id="2"/>
    </w:p>
    <w:p w:rsidR="009B4913" w:rsidRPr="00955A99" w:rsidRDefault="009B4913" w:rsidP="00C60195">
      <w:pPr>
        <w:jc w:val="both"/>
        <w:rPr>
          <w:color w:val="000000" w:themeColor="text1"/>
          <w:sz w:val="22"/>
          <w:szCs w:val="22"/>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Las Unidades de Medicina Familiar (UMF) contarán ahora con salas de urgencias abiertas 24/7, un cambio estructural relevante.</w:t>
      </w:r>
      <w:r>
        <w:rPr>
          <w:color w:val="000000" w:themeColor="text1"/>
          <w:lang w:eastAsia="es-MX"/>
        </w:rPr>
        <w:t xml:space="preserve"> </w:t>
      </w:r>
      <w:r w:rsidRPr="009B4913">
        <w:rPr>
          <w:color w:val="000000" w:themeColor="text1"/>
          <w:lang w:eastAsia="es-MX"/>
        </w:rPr>
        <w:t>Este enfoque fortalece el modelo de atención primaria, considerado clave para prevenir enfermedades crónicas, reducir presión sobre hospitales y hacer más eficiente el sistema.</w:t>
      </w:r>
    </w:p>
    <w:p w:rsidR="009B4913" w:rsidRPr="009B4913" w:rsidRDefault="009B4913" w:rsidP="00C60195">
      <w:pPr>
        <w:jc w:val="both"/>
        <w:rPr>
          <w:color w:val="000000" w:themeColor="text1"/>
          <w:lang w:eastAsia="es-MX"/>
        </w:rPr>
      </w:pPr>
    </w:p>
    <w:p w:rsidR="009B4913" w:rsidRPr="00955A99" w:rsidRDefault="009B4913" w:rsidP="00C60195">
      <w:pPr>
        <w:pStyle w:val="Ttulo1"/>
        <w:jc w:val="both"/>
        <w:rPr>
          <w:color w:val="000000" w:themeColor="text1"/>
          <w:sz w:val="28"/>
          <w:szCs w:val="28"/>
          <w:lang w:eastAsia="es-MX"/>
        </w:rPr>
      </w:pPr>
      <w:bookmarkStart w:id="3" w:name="_Toc199788344"/>
      <w:r w:rsidRPr="00955A99">
        <w:rPr>
          <w:color w:val="000000" w:themeColor="text1"/>
          <w:sz w:val="28"/>
          <w:szCs w:val="28"/>
          <w:lang w:eastAsia="es-MX"/>
        </w:rPr>
        <w:t>4. COMPRA CONSOLIDADA DE MEDICAMENTOS E INSUMOS (2025-2026)</w:t>
      </w:r>
      <w:bookmarkEnd w:id="3"/>
    </w:p>
    <w:p w:rsidR="009B4913" w:rsidRDefault="009B4913" w:rsidP="00C60195">
      <w:pPr>
        <w:jc w:val="both"/>
        <w:rPr>
          <w:color w:val="000000" w:themeColor="text1"/>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Con un avance del 95.7% en la adjudicación de casi 5 mil millones de piezas, se proyecta una mejora importante en el abasto de medicamentos a partir de marzo.</w:t>
      </w:r>
      <w:r>
        <w:rPr>
          <w:color w:val="000000" w:themeColor="text1"/>
          <w:lang w:eastAsia="es-MX"/>
        </w:rPr>
        <w:t xml:space="preserve"> </w:t>
      </w:r>
      <w:r w:rsidRPr="009B4913">
        <w:rPr>
          <w:color w:val="000000" w:themeColor="text1"/>
          <w:lang w:eastAsia="es-MX"/>
        </w:rPr>
        <w:t xml:space="preserve">El éxito logístico de esta compra masiva dependerá de la distribución oportuna. También se reconoce la </w:t>
      </w:r>
      <w:r w:rsidRPr="009B4913">
        <w:rPr>
          <w:color w:val="000000" w:themeColor="text1"/>
          <w:lang w:eastAsia="es-MX"/>
        </w:rPr>
        <w:lastRenderedPageBreak/>
        <w:t>necesidad de una segunda licitación para medicamentos de bajo volumen, lo cual es una medida pragmática pero que requerirá seguimiento cercano para evitar desabasto.</w:t>
      </w:r>
    </w:p>
    <w:p w:rsidR="009B4913" w:rsidRDefault="009B4913" w:rsidP="00C60195">
      <w:pPr>
        <w:jc w:val="both"/>
        <w:rPr>
          <w:color w:val="000000" w:themeColor="text1"/>
          <w:lang w:eastAsia="es-MX"/>
        </w:rPr>
      </w:pPr>
    </w:p>
    <w:p w:rsidR="009B4913" w:rsidRPr="009B4913" w:rsidRDefault="009B4913" w:rsidP="00C60195">
      <w:pPr>
        <w:jc w:val="both"/>
        <w:rPr>
          <w:color w:val="000000" w:themeColor="text1"/>
          <w:lang w:eastAsia="es-MX"/>
        </w:rPr>
      </w:pPr>
    </w:p>
    <w:p w:rsidR="009B4913" w:rsidRPr="00955A99" w:rsidRDefault="009B4913" w:rsidP="00C60195">
      <w:pPr>
        <w:pStyle w:val="Ttulo1"/>
        <w:jc w:val="both"/>
        <w:rPr>
          <w:color w:val="000000" w:themeColor="text1"/>
          <w:sz w:val="28"/>
          <w:szCs w:val="28"/>
          <w:lang w:eastAsia="es-MX"/>
        </w:rPr>
      </w:pPr>
      <w:bookmarkStart w:id="4" w:name="_Toc199788345"/>
      <w:r w:rsidRPr="00955A99">
        <w:rPr>
          <w:color w:val="000000" w:themeColor="text1"/>
          <w:sz w:val="28"/>
          <w:szCs w:val="28"/>
          <w:lang w:eastAsia="es-MX"/>
        </w:rPr>
        <w:t>5.- IMPLEMENTACIÓN DE PROTOCOLOS NACIONALES DE ATENCIÓN MÉDICA (PRONAM)</w:t>
      </w:r>
      <w:bookmarkEnd w:id="4"/>
    </w:p>
    <w:p w:rsidR="009B4913" w:rsidRDefault="009B4913" w:rsidP="00C60195">
      <w:pPr>
        <w:jc w:val="both"/>
        <w:rPr>
          <w:color w:val="000000" w:themeColor="text1"/>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Se lanzan seis protocolos prioritarios centrados en enfermedades crónicas y etapas críticas del desarrollo (como los primeros 1,000 días de vida)</w:t>
      </w:r>
      <w:r>
        <w:rPr>
          <w:color w:val="000000" w:themeColor="text1"/>
          <w:lang w:eastAsia="es-MX"/>
        </w:rPr>
        <w:t xml:space="preserve">. </w:t>
      </w:r>
      <w:r w:rsidRPr="009B4913">
        <w:rPr>
          <w:color w:val="000000" w:themeColor="text1"/>
          <w:lang w:eastAsia="es-MX"/>
        </w:rPr>
        <w:t>Esto representa una estandarización de la atención médica basada en evidencia, alineada con los medicamentos adquiridos. La integración con herramientas digitales (QRs, infografías, evaluaciones de riesgo) muestra un enfoque moderno hacia la medicina clínica.</w:t>
      </w:r>
    </w:p>
    <w:p w:rsidR="009B4913" w:rsidRPr="009B4913" w:rsidRDefault="009B4913" w:rsidP="00C60195">
      <w:pPr>
        <w:jc w:val="both"/>
        <w:rPr>
          <w:color w:val="000000" w:themeColor="text1"/>
          <w:lang w:eastAsia="es-MX"/>
        </w:rPr>
      </w:pPr>
    </w:p>
    <w:p w:rsidR="009B4913" w:rsidRPr="00955A99" w:rsidRDefault="009B4913" w:rsidP="00C60195">
      <w:pPr>
        <w:pStyle w:val="Ttulo1"/>
        <w:jc w:val="both"/>
        <w:rPr>
          <w:color w:val="000000" w:themeColor="text1"/>
          <w:sz w:val="28"/>
          <w:szCs w:val="28"/>
          <w:lang w:eastAsia="es-MX"/>
        </w:rPr>
      </w:pPr>
      <w:bookmarkStart w:id="5" w:name="_Toc199788346"/>
      <w:r w:rsidRPr="00955A99">
        <w:rPr>
          <w:color w:val="000000" w:themeColor="text1"/>
          <w:sz w:val="28"/>
          <w:szCs w:val="28"/>
          <w:lang w:eastAsia="es-MX"/>
        </w:rPr>
        <w:t>6.- CONCLUSIONES</w:t>
      </w:r>
      <w:bookmarkEnd w:id="5"/>
      <w:r w:rsidRPr="00955A99">
        <w:rPr>
          <w:color w:val="000000" w:themeColor="text1"/>
          <w:sz w:val="28"/>
          <w:szCs w:val="28"/>
          <w:lang w:eastAsia="es-MX"/>
        </w:rPr>
        <w:t xml:space="preserve"> </w:t>
      </w:r>
    </w:p>
    <w:p w:rsidR="009B4913" w:rsidRPr="009B4913" w:rsidRDefault="009B4913" w:rsidP="00C60195">
      <w:pPr>
        <w:jc w:val="both"/>
        <w:rPr>
          <w:color w:val="000000" w:themeColor="text1"/>
          <w:lang w:eastAsia="es-MX"/>
        </w:rPr>
      </w:pPr>
    </w:p>
    <w:p w:rsidR="009B4913" w:rsidRPr="009B4913" w:rsidRDefault="009B4913" w:rsidP="00C60195">
      <w:pPr>
        <w:jc w:val="both"/>
        <w:rPr>
          <w:color w:val="000000" w:themeColor="text1"/>
          <w:lang w:eastAsia="es-MX"/>
        </w:rPr>
      </w:pPr>
      <w:r w:rsidRPr="009B4913">
        <w:rPr>
          <w:color w:val="000000" w:themeColor="text1"/>
          <w:lang w:eastAsia="es-MX"/>
        </w:rPr>
        <w:t>Este paquete de medidas representa un fortalecimiento integral del sistema de salud en México, abordando infraestructura, personal, insumos y protocolos clínicos.</w:t>
      </w:r>
      <w:r>
        <w:rPr>
          <w:color w:val="000000" w:themeColor="text1"/>
          <w:lang w:eastAsia="es-MX"/>
        </w:rPr>
        <w:t xml:space="preserve"> </w:t>
      </w:r>
      <w:r w:rsidRPr="009B4913">
        <w:rPr>
          <w:color w:val="000000" w:themeColor="text1"/>
          <w:lang w:eastAsia="es-MX"/>
        </w:rPr>
        <w:t xml:space="preserve"> La estrategia parece bien planificada en términos de alcance, aunque su éxito dependerá </w:t>
      </w:r>
    </w:p>
    <w:p w:rsidR="009B4913" w:rsidRPr="009B4913" w:rsidRDefault="009B4913" w:rsidP="00C60195">
      <w:pPr>
        <w:jc w:val="both"/>
        <w:rPr>
          <w:color w:val="000000" w:themeColor="text1"/>
          <w:lang w:eastAsia="es-MX"/>
        </w:rPr>
      </w:pPr>
      <w:r w:rsidRPr="009B4913">
        <w:rPr>
          <w:color w:val="000000" w:themeColor="text1"/>
          <w:lang w:eastAsia="es-MX"/>
        </w:rPr>
        <w:t>La operatividad real de los hospitales y clínicas tras su inauguración.</w:t>
      </w:r>
    </w:p>
    <w:p w:rsidR="009B4913" w:rsidRPr="009B4913" w:rsidRDefault="009B4913" w:rsidP="00C60195">
      <w:pPr>
        <w:jc w:val="both"/>
        <w:rPr>
          <w:color w:val="000000" w:themeColor="text1"/>
          <w:lang w:eastAsia="es-MX"/>
        </w:rPr>
      </w:pPr>
      <w:r w:rsidRPr="009B4913">
        <w:rPr>
          <w:color w:val="000000" w:themeColor="text1"/>
          <w:lang w:eastAsia="es-MX"/>
        </w:rPr>
        <w:t>La retención y capacitación del personal médico</w:t>
      </w:r>
      <w:r w:rsidR="00955A99">
        <w:rPr>
          <w:color w:val="000000" w:themeColor="text1"/>
          <w:lang w:eastAsia="es-MX"/>
        </w:rPr>
        <w:t xml:space="preserve"> y l</w:t>
      </w:r>
      <w:r w:rsidRPr="009B4913">
        <w:rPr>
          <w:color w:val="000000" w:themeColor="text1"/>
          <w:lang w:eastAsia="es-MX"/>
        </w:rPr>
        <w:t>a eficiencia logística en la distribución de insumos.</w:t>
      </w:r>
    </w:p>
    <w:p w:rsidR="009B4913" w:rsidRDefault="009B4913"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Default="00756688" w:rsidP="00C60195">
      <w:pPr>
        <w:jc w:val="both"/>
        <w:rPr>
          <w:color w:val="000000" w:themeColor="text1"/>
          <w:lang w:eastAsia="es-MX"/>
        </w:rPr>
      </w:pPr>
    </w:p>
    <w:p w:rsidR="00756688" w:rsidRPr="00E939E3" w:rsidRDefault="00756688" w:rsidP="00C60195">
      <w:pPr>
        <w:pStyle w:val="Ttulo1"/>
        <w:jc w:val="both"/>
        <w:rPr>
          <w:color w:val="000000" w:themeColor="text1"/>
          <w:sz w:val="28"/>
          <w:szCs w:val="28"/>
          <w:lang w:eastAsia="es-MX"/>
        </w:rPr>
      </w:pPr>
      <w:bookmarkStart w:id="6" w:name="_Toc199788347"/>
      <w:r w:rsidRPr="00E939E3">
        <w:rPr>
          <w:color w:val="000000" w:themeColor="text1"/>
          <w:sz w:val="28"/>
          <w:szCs w:val="28"/>
          <w:lang w:eastAsia="es-MX"/>
        </w:rPr>
        <w:lastRenderedPageBreak/>
        <w:t>7.- BIBLIOGRAFIA</w:t>
      </w:r>
      <w:bookmarkEnd w:id="6"/>
    </w:p>
    <w:p w:rsidR="00756688" w:rsidRDefault="00756688" w:rsidP="00C60195">
      <w:pPr>
        <w:jc w:val="both"/>
        <w:rPr>
          <w:color w:val="000000" w:themeColor="text1"/>
          <w:lang w:eastAsia="es-MX"/>
        </w:rPr>
      </w:pPr>
    </w:p>
    <w:p w:rsidR="00756688" w:rsidRDefault="00000000" w:rsidP="00C60195">
      <w:pPr>
        <w:jc w:val="both"/>
        <w:rPr>
          <w:color w:val="000000" w:themeColor="text1"/>
          <w:lang w:eastAsia="es-MX"/>
        </w:rPr>
      </w:pPr>
      <w:hyperlink r:id="rId9" w:history="1">
        <w:r w:rsidR="00E939E3" w:rsidRPr="002D0757">
          <w:rPr>
            <w:rStyle w:val="Hipervnculo"/>
            <w:lang w:eastAsia="es-MX"/>
          </w:rPr>
          <w:t>https://www.gob.mx/presidencia/prensa/presidenta-claudia-sheinbaum-destaca-inauguracion-en-2025-de-nuevos-hospitales-y-clinicas-del-imss-imss-bienestar-e-issste</w:t>
        </w:r>
      </w:hyperlink>
    </w:p>
    <w:p w:rsidR="00E939E3" w:rsidRPr="009B4913" w:rsidRDefault="00E939E3" w:rsidP="00C60195">
      <w:pPr>
        <w:jc w:val="both"/>
        <w:rPr>
          <w:color w:val="000000" w:themeColor="text1"/>
          <w:lang w:eastAsia="es-MX"/>
        </w:rPr>
      </w:pPr>
    </w:p>
    <w:p w:rsidR="009B4913" w:rsidRPr="009B4913" w:rsidRDefault="009B4913" w:rsidP="00C60195">
      <w:pPr>
        <w:jc w:val="both"/>
      </w:pPr>
    </w:p>
    <w:sectPr w:rsidR="009B4913" w:rsidRPr="009B4913">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F13" w:rsidRDefault="00D64F13" w:rsidP="00955A99">
      <w:r>
        <w:separator/>
      </w:r>
    </w:p>
  </w:endnote>
  <w:endnote w:type="continuationSeparator" w:id="0">
    <w:p w:rsidR="00D64F13" w:rsidRDefault="00D64F13" w:rsidP="0095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8919002"/>
      <w:docPartObj>
        <w:docPartGallery w:val="Page Numbers (Bottom of Page)"/>
        <w:docPartUnique/>
      </w:docPartObj>
    </w:sdtPr>
    <w:sdtContent>
      <w:p w:rsidR="00955A99" w:rsidRDefault="00955A99" w:rsidP="002D07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55A99" w:rsidRDefault="00955A99" w:rsidP="00955A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8117141"/>
      <w:docPartObj>
        <w:docPartGallery w:val="Page Numbers (Bottom of Page)"/>
        <w:docPartUnique/>
      </w:docPartObj>
    </w:sdtPr>
    <w:sdtContent>
      <w:p w:rsidR="00955A99" w:rsidRDefault="00955A99" w:rsidP="002D075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55A99" w:rsidRDefault="00955A99" w:rsidP="00955A9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F13" w:rsidRDefault="00D64F13" w:rsidP="00955A99">
      <w:r>
        <w:separator/>
      </w:r>
    </w:p>
  </w:footnote>
  <w:footnote w:type="continuationSeparator" w:id="0">
    <w:p w:rsidR="00D64F13" w:rsidRDefault="00D64F13" w:rsidP="0095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45D0"/>
    <w:multiLevelType w:val="multilevel"/>
    <w:tmpl w:val="00B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70D1C"/>
    <w:multiLevelType w:val="multilevel"/>
    <w:tmpl w:val="1F3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C040C"/>
    <w:multiLevelType w:val="hybridMultilevel"/>
    <w:tmpl w:val="E6807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3578460">
    <w:abstractNumId w:val="0"/>
  </w:num>
  <w:num w:numId="2" w16cid:durableId="1535145357">
    <w:abstractNumId w:val="1"/>
  </w:num>
  <w:num w:numId="3" w16cid:durableId="315188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3"/>
    <w:rsid w:val="002F5CAF"/>
    <w:rsid w:val="00756688"/>
    <w:rsid w:val="007C2B30"/>
    <w:rsid w:val="00955A99"/>
    <w:rsid w:val="009B4913"/>
    <w:rsid w:val="00C60195"/>
    <w:rsid w:val="00D64F13"/>
    <w:rsid w:val="00E93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00A1-38F5-4F45-B180-5AF81DD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5A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9B4913"/>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9B4913"/>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4913"/>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tulo2Car">
    <w:name w:val="Título 2 Car"/>
    <w:basedOn w:val="Fuentedeprrafopredeter"/>
    <w:link w:val="Ttulo2"/>
    <w:uiPriority w:val="9"/>
    <w:rsid w:val="009B4913"/>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9B4913"/>
    <w:rPr>
      <w:rFonts w:ascii="Times New Roman" w:eastAsia="Times New Roman" w:hAnsi="Times New Roman" w:cs="Times New Roman"/>
      <w:b/>
      <w:bCs/>
      <w:kern w:val="0"/>
      <w:sz w:val="27"/>
      <w:szCs w:val="27"/>
      <w:lang w:eastAsia="es-MX"/>
      <w14:ligatures w14:val="none"/>
    </w:rPr>
  </w:style>
  <w:style w:type="character" w:styleId="Textoennegrita">
    <w:name w:val="Strong"/>
    <w:basedOn w:val="Fuentedeprrafopredeter"/>
    <w:uiPriority w:val="22"/>
    <w:qFormat/>
    <w:rsid w:val="009B4913"/>
    <w:rPr>
      <w:b/>
      <w:bCs/>
    </w:rPr>
  </w:style>
  <w:style w:type="character" w:styleId="nfasis">
    <w:name w:val="Emphasis"/>
    <w:basedOn w:val="Fuentedeprrafopredeter"/>
    <w:uiPriority w:val="20"/>
    <w:qFormat/>
    <w:rsid w:val="009B4913"/>
    <w:rPr>
      <w:i/>
      <w:iCs/>
    </w:rPr>
  </w:style>
  <w:style w:type="paragraph" w:styleId="Prrafodelista">
    <w:name w:val="List Paragraph"/>
    <w:basedOn w:val="Normal"/>
    <w:uiPriority w:val="34"/>
    <w:qFormat/>
    <w:rsid w:val="009B4913"/>
    <w:pPr>
      <w:ind w:left="720"/>
      <w:contextualSpacing/>
    </w:pPr>
  </w:style>
  <w:style w:type="paragraph" w:styleId="Piedepgina">
    <w:name w:val="footer"/>
    <w:basedOn w:val="Normal"/>
    <w:link w:val="PiedepginaCar"/>
    <w:uiPriority w:val="99"/>
    <w:unhideWhenUsed/>
    <w:rsid w:val="00955A99"/>
    <w:pPr>
      <w:tabs>
        <w:tab w:val="center" w:pos="4419"/>
        <w:tab w:val="right" w:pos="8838"/>
      </w:tabs>
    </w:pPr>
  </w:style>
  <w:style w:type="character" w:customStyle="1" w:styleId="PiedepginaCar">
    <w:name w:val="Pie de página Car"/>
    <w:basedOn w:val="Fuentedeprrafopredeter"/>
    <w:link w:val="Piedepgina"/>
    <w:uiPriority w:val="99"/>
    <w:rsid w:val="00955A99"/>
  </w:style>
  <w:style w:type="character" w:styleId="Nmerodepgina">
    <w:name w:val="page number"/>
    <w:basedOn w:val="Fuentedeprrafopredeter"/>
    <w:uiPriority w:val="99"/>
    <w:semiHidden/>
    <w:unhideWhenUsed/>
    <w:rsid w:val="00955A99"/>
  </w:style>
  <w:style w:type="character" w:customStyle="1" w:styleId="Ttulo1Car">
    <w:name w:val="Título 1 Car"/>
    <w:basedOn w:val="Fuentedeprrafopredeter"/>
    <w:link w:val="Ttulo1"/>
    <w:uiPriority w:val="9"/>
    <w:rsid w:val="00955A9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55A99"/>
    <w:pPr>
      <w:spacing w:before="480" w:line="276" w:lineRule="auto"/>
      <w:outlineLvl w:val="9"/>
    </w:pPr>
    <w:rPr>
      <w:b/>
      <w:bCs/>
      <w:kern w:val="0"/>
      <w:sz w:val="28"/>
      <w:szCs w:val="28"/>
      <w:lang w:eastAsia="es-MX"/>
      <w14:ligatures w14:val="none"/>
    </w:rPr>
  </w:style>
  <w:style w:type="paragraph" w:styleId="TDC1">
    <w:name w:val="toc 1"/>
    <w:basedOn w:val="Normal"/>
    <w:next w:val="Normal"/>
    <w:autoRedefine/>
    <w:uiPriority w:val="39"/>
    <w:unhideWhenUsed/>
    <w:rsid w:val="00955A99"/>
    <w:pPr>
      <w:spacing w:before="120" w:after="120"/>
    </w:pPr>
    <w:rPr>
      <w:rFonts w:cstheme="minorHAnsi"/>
      <w:b/>
      <w:bCs/>
      <w:caps/>
      <w:sz w:val="20"/>
      <w:szCs w:val="20"/>
    </w:rPr>
  </w:style>
  <w:style w:type="character" w:styleId="Hipervnculo">
    <w:name w:val="Hyperlink"/>
    <w:basedOn w:val="Fuentedeprrafopredeter"/>
    <w:uiPriority w:val="99"/>
    <w:unhideWhenUsed/>
    <w:rsid w:val="00955A99"/>
    <w:rPr>
      <w:color w:val="0563C1" w:themeColor="hyperlink"/>
      <w:u w:val="single"/>
    </w:rPr>
  </w:style>
  <w:style w:type="paragraph" w:styleId="TDC2">
    <w:name w:val="toc 2"/>
    <w:basedOn w:val="Normal"/>
    <w:next w:val="Normal"/>
    <w:autoRedefine/>
    <w:uiPriority w:val="39"/>
    <w:semiHidden/>
    <w:unhideWhenUsed/>
    <w:rsid w:val="00955A99"/>
    <w:pPr>
      <w:ind w:left="240"/>
    </w:pPr>
    <w:rPr>
      <w:rFonts w:cstheme="minorHAnsi"/>
      <w:smallCaps/>
      <w:sz w:val="20"/>
      <w:szCs w:val="20"/>
    </w:rPr>
  </w:style>
  <w:style w:type="paragraph" w:styleId="TDC3">
    <w:name w:val="toc 3"/>
    <w:basedOn w:val="Normal"/>
    <w:next w:val="Normal"/>
    <w:autoRedefine/>
    <w:uiPriority w:val="39"/>
    <w:semiHidden/>
    <w:unhideWhenUsed/>
    <w:rsid w:val="00955A99"/>
    <w:pPr>
      <w:ind w:left="480"/>
    </w:pPr>
    <w:rPr>
      <w:rFonts w:cstheme="minorHAnsi"/>
      <w:i/>
      <w:iCs/>
      <w:sz w:val="20"/>
      <w:szCs w:val="20"/>
    </w:rPr>
  </w:style>
  <w:style w:type="paragraph" w:styleId="TDC4">
    <w:name w:val="toc 4"/>
    <w:basedOn w:val="Normal"/>
    <w:next w:val="Normal"/>
    <w:autoRedefine/>
    <w:uiPriority w:val="39"/>
    <w:semiHidden/>
    <w:unhideWhenUsed/>
    <w:rsid w:val="00955A99"/>
    <w:pPr>
      <w:ind w:left="720"/>
    </w:pPr>
    <w:rPr>
      <w:rFonts w:cstheme="minorHAnsi"/>
      <w:sz w:val="18"/>
      <w:szCs w:val="18"/>
    </w:rPr>
  </w:style>
  <w:style w:type="paragraph" w:styleId="TDC5">
    <w:name w:val="toc 5"/>
    <w:basedOn w:val="Normal"/>
    <w:next w:val="Normal"/>
    <w:autoRedefine/>
    <w:uiPriority w:val="39"/>
    <w:semiHidden/>
    <w:unhideWhenUsed/>
    <w:rsid w:val="00955A99"/>
    <w:pPr>
      <w:ind w:left="960"/>
    </w:pPr>
    <w:rPr>
      <w:rFonts w:cstheme="minorHAnsi"/>
      <w:sz w:val="18"/>
      <w:szCs w:val="18"/>
    </w:rPr>
  </w:style>
  <w:style w:type="paragraph" w:styleId="TDC6">
    <w:name w:val="toc 6"/>
    <w:basedOn w:val="Normal"/>
    <w:next w:val="Normal"/>
    <w:autoRedefine/>
    <w:uiPriority w:val="39"/>
    <w:semiHidden/>
    <w:unhideWhenUsed/>
    <w:rsid w:val="00955A99"/>
    <w:pPr>
      <w:ind w:left="1200"/>
    </w:pPr>
    <w:rPr>
      <w:rFonts w:cstheme="minorHAnsi"/>
      <w:sz w:val="18"/>
      <w:szCs w:val="18"/>
    </w:rPr>
  </w:style>
  <w:style w:type="paragraph" w:styleId="TDC7">
    <w:name w:val="toc 7"/>
    <w:basedOn w:val="Normal"/>
    <w:next w:val="Normal"/>
    <w:autoRedefine/>
    <w:uiPriority w:val="39"/>
    <w:semiHidden/>
    <w:unhideWhenUsed/>
    <w:rsid w:val="00955A99"/>
    <w:pPr>
      <w:ind w:left="1440"/>
    </w:pPr>
    <w:rPr>
      <w:rFonts w:cstheme="minorHAnsi"/>
      <w:sz w:val="18"/>
      <w:szCs w:val="18"/>
    </w:rPr>
  </w:style>
  <w:style w:type="paragraph" w:styleId="TDC8">
    <w:name w:val="toc 8"/>
    <w:basedOn w:val="Normal"/>
    <w:next w:val="Normal"/>
    <w:autoRedefine/>
    <w:uiPriority w:val="39"/>
    <w:semiHidden/>
    <w:unhideWhenUsed/>
    <w:rsid w:val="00955A99"/>
    <w:pPr>
      <w:ind w:left="1680"/>
    </w:pPr>
    <w:rPr>
      <w:rFonts w:cstheme="minorHAnsi"/>
      <w:sz w:val="18"/>
      <w:szCs w:val="18"/>
    </w:rPr>
  </w:style>
  <w:style w:type="paragraph" w:styleId="TDC9">
    <w:name w:val="toc 9"/>
    <w:basedOn w:val="Normal"/>
    <w:next w:val="Normal"/>
    <w:autoRedefine/>
    <w:uiPriority w:val="39"/>
    <w:semiHidden/>
    <w:unhideWhenUsed/>
    <w:rsid w:val="00955A99"/>
    <w:pPr>
      <w:ind w:left="1920"/>
    </w:pPr>
    <w:rPr>
      <w:rFonts w:cstheme="minorHAnsi"/>
      <w:sz w:val="18"/>
      <w:szCs w:val="18"/>
    </w:rPr>
  </w:style>
  <w:style w:type="character" w:styleId="Mencinsinresolver">
    <w:name w:val="Unresolved Mention"/>
    <w:basedOn w:val="Fuentedeprrafopredeter"/>
    <w:uiPriority w:val="99"/>
    <w:semiHidden/>
    <w:unhideWhenUsed/>
    <w:rsid w:val="00E9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53639">
      <w:bodyDiv w:val="1"/>
      <w:marLeft w:val="0"/>
      <w:marRight w:val="0"/>
      <w:marTop w:val="0"/>
      <w:marBottom w:val="0"/>
      <w:divBdr>
        <w:top w:val="none" w:sz="0" w:space="0" w:color="auto"/>
        <w:left w:val="none" w:sz="0" w:space="0" w:color="auto"/>
        <w:bottom w:val="none" w:sz="0" w:space="0" w:color="auto"/>
        <w:right w:val="none" w:sz="0" w:space="0" w:color="auto"/>
      </w:divBdr>
    </w:div>
    <w:div w:id="19181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b.mx/presidencia/prensa/presidenta-claudia-sheinbaum-destaca-inauguracion-en-2025-de-nuevos-hospitales-y-clinicas-del-imss-imss-bienestar-e-isss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AE84-8935-2F48-B9B0-B146FDDC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nolasco</dc:creator>
  <cp:keywords/>
  <dc:description/>
  <cp:lastModifiedBy>daniel nolasco</cp:lastModifiedBy>
  <cp:revision>3</cp:revision>
  <dcterms:created xsi:type="dcterms:W3CDTF">2025-06-03T02:00:00Z</dcterms:created>
  <dcterms:modified xsi:type="dcterms:W3CDTF">2025-06-07T23:34:00Z</dcterms:modified>
</cp:coreProperties>
</file>