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  <Override PartName="/word/media/image2.jpeg" ContentType="image/jpeg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uerpo"/>
        <w:jc w:val="center"/>
        <w:rPr>
          <w:rStyle w:val="Ninguno"/>
          <w:rFonts w:ascii="Gill Sans MT" w:cs="Gill Sans MT" w:hAnsi="Gill Sans MT" w:eastAsia="Gill Sans MT"/>
          <w:outline w:val="0"/>
          <w:color w:val="1f4e79"/>
          <w:u w:color="1f4e79"/>
          <w14:textFill>
            <w14:solidFill>
              <w14:srgbClr w14:val="1F4E79"/>
            </w14:solidFill>
          </w14:textFill>
        </w:rPr>
      </w:pPr>
      <w:r>
        <w:rPr>
          <w:rStyle w:val="Ninguno"/>
          <w:rFonts w:ascii="Gill Sans MT" w:cs="Gill Sans MT" w:hAnsi="Gill Sans MT" w:eastAsia="Gill Sans MT"/>
          <w:outline w:val="0"/>
          <w:color w:val="1f4e79"/>
          <w:u w:color="1f4e79"/>
          <w14:textFill>
            <w14:solidFill>
              <w14:srgbClr w14:val="1F4E79"/>
            </w14:solidFill>
          </w14:textFill>
        </w:rPr>
        <w:drawing xmlns:a="http://schemas.openxmlformats.org/drawingml/2006/main">
          <wp:inline distT="0" distB="0" distL="0" distR="0">
            <wp:extent cx="5612003" cy="2602285"/>
            <wp:effectExtent l="0" t="0" r="0" b="0"/>
            <wp:docPr id="1073741828" name="officeArt object" descr="A picture containing drawing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A picture containing drawingDescription automatically generated" descr="A picture containing drawingDescription automatically generated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rcRect l="0" t="24976" r="0" b="28505"/>
                    <a:stretch>
                      <a:fillRect/>
                    </a:stretch>
                  </pic:blipFill>
                  <pic:spPr>
                    <a:xfrm>
                      <a:off x="0" y="0"/>
                      <a:ext cx="5612003" cy="2602285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Cuerpo"/>
        <w:rPr>
          <w:rStyle w:val="Ninguno"/>
          <w:rFonts w:ascii="Gill Sans MT" w:cs="Gill Sans MT" w:hAnsi="Gill Sans MT" w:eastAsia="Gill Sans MT"/>
        </w:rPr>
      </w:pPr>
    </w:p>
    <w:p>
      <w:pPr>
        <w:pStyle w:val="Cuerpo"/>
        <w:rPr>
          <w:sz w:val="60"/>
          <w:szCs w:val="60"/>
        </w:rPr>
      </w:pPr>
      <w:r>
        <w:rPr>
          <w:rStyle w:val="Ninguno"/>
          <w:rFonts w:ascii="Gill Sans MT" w:cs="Gill Sans MT" w:hAnsi="Gill Sans MT" w:eastAsia="Gill Sans MT"/>
          <w:sz w:val="60"/>
          <w:szCs w:val="60"/>
          <w:rtl w:val="0"/>
          <w:lang w:val="es-ES_tradnl"/>
        </w:rPr>
        <w:t>Resumen de AINES</w:t>
      </w:r>
    </w:p>
    <w:p>
      <w:pPr>
        <w:pStyle w:val="Nota al pie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Style w:val="Ninguno"/>
          <w:rFonts w:ascii="Gill Sans MT" w:cs="Gill Sans MT" w:hAnsi="Gill Sans MT" w:eastAsia="Gill Sans MT"/>
          <w:outline w:val="0"/>
          <w:color w:val="1f4e79"/>
          <w:u w:color="1f4e79"/>
          <w14:textFill>
            <w14:solidFill>
              <w14:srgbClr w14:val="1F4E79"/>
            </w14:solidFill>
          </w14:textFill>
        </w:rPr>
      </w:pPr>
    </w:p>
    <w:p>
      <w:pPr>
        <w:pStyle w:val="Nota al pie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Style w:val="Ninguno"/>
          <w:rFonts w:ascii="Gill Sans MT" w:cs="Gill Sans MT" w:hAnsi="Gill Sans MT" w:eastAsia="Gill Sans MT"/>
          <w:outline w:val="0"/>
          <w:color w:val="1f4e79"/>
          <w:u w:color="1f4e79"/>
          <w14:textFill>
            <w14:solidFill>
              <w14:srgbClr w14:val="1F4E79"/>
            </w14:solidFill>
          </w14:textFill>
        </w:rPr>
      </w:pPr>
      <w:r>
        <w:rPr>
          <w:rStyle w:val="Ninguno"/>
          <w:rFonts w:ascii="Gill Sans MT" w:cs="Gill Sans MT" w:hAnsi="Gill Sans MT" w:eastAsia="Gill Sans MT"/>
          <w:outline w:val="0"/>
          <w:color w:val="1f4e79"/>
          <w:u w:color="1f4e79"/>
          <w14:textFill>
            <w14:solidFill>
              <w14:srgbClr w14:val="1F4E79"/>
            </w14:solidFill>
          </w14:textFill>
        </w:rPr>
        <mc:AlternateContent>
          <mc:Choice Requires="wps">
            <w:drawing xmlns:a="http://schemas.openxmlformats.org/drawingml/2006/main">
              <wp:anchor distT="152400" distB="152400" distL="152400" distR="152400" simplePos="0" relativeHeight="251659264" behindDoc="0" locked="0" layoutInCell="1" allowOverlap="1">
                <wp:simplePos x="0" y="0"/>
                <wp:positionH relativeFrom="margin">
                  <wp:posOffset>-6349</wp:posOffset>
                </wp:positionH>
                <wp:positionV relativeFrom="line">
                  <wp:posOffset>341650</wp:posOffset>
                </wp:positionV>
                <wp:extent cx="4878218" cy="2330916"/>
                <wp:effectExtent l="0" t="0" r="0" b="0"/>
                <wp:wrapTopAndBottom distT="152400" distB="152400"/>
                <wp:docPr id="1073741829" name="officeArt object" descr="David García Caballero…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78218" cy="233091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heading 6"/>
                            </w:pPr>
                            <w:r>
                              <w:rPr>
                                <w:rtl w:val="0"/>
                              </w:rPr>
                              <w:t>David Garc</w:t>
                            </w:r>
                            <w:r>
                              <w:rPr>
                                <w:rtl w:val="0"/>
                              </w:rPr>
                              <w:t>í</w:t>
                            </w:r>
                            <w:r>
                              <w:rPr>
                                <w:rtl w:val="0"/>
                              </w:rPr>
                              <w:t xml:space="preserve">a Caballero </w:t>
                            </w:r>
                          </w:p>
                          <w:p>
                            <w:pPr>
                              <w:pStyle w:val="heading 6"/>
                            </w:pPr>
                            <w:r>
                              <w:rPr>
                                <w:rtl w:val="0"/>
                              </w:rPr>
                              <w:t>Parcial 1</w:t>
                            </w:r>
                          </w:p>
                          <w:p>
                            <w:pPr>
                              <w:pStyle w:val="heading 6"/>
                            </w:pPr>
                            <w:r>
                              <w:rPr>
                                <w:rtl w:val="0"/>
                              </w:rPr>
                              <w:t>Farmacologia Terap</w:t>
                            </w:r>
                            <w:r>
                              <w:rPr>
                                <w:rtl w:val="0"/>
                              </w:rPr>
                              <w:t>é</w:t>
                            </w:r>
                            <w:r>
                              <w:rPr>
                                <w:rtl w:val="0"/>
                              </w:rPr>
                              <w:t xml:space="preserve">utica </w:t>
                            </w:r>
                          </w:p>
                          <w:p>
                            <w:pPr>
                              <w:pStyle w:val="heading 6"/>
                            </w:pPr>
                            <w:r>
                              <w:rPr>
                                <w:rtl w:val="0"/>
                              </w:rPr>
                              <w:t xml:space="preserve">DR.Adolfo Brayan Medellin Guillen </w:t>
                            </w:r>
                          </w:p>
                          <w:p>
                            <w:pPr>
                              <w:pStyle w:val="heading 6"/>
                            </w:pPr>
                            <w:r>
                              <w:rPr>
                                <w:rtl w:val="0"/>
                              </w:rPr>
                              <w:t xml:space="preserve">Medicina Humana </w:t>
                            </w:r>
                          </w:p>
                          <w:p>
                            <w:pPr>
                              <w:pStyle w:val="heading 6"/>
                            </w:pPr>
                            <w:r>
                              <w:rPr>
                                <w:rtl w:val="0"/>
                              </w:rPr>
                              <w:t xml:space="preserve">Cuarto Semestre 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type="#_x0000_t202" style="visibility:visible;position:absolute;margin-left:-0.5pt;margin-top:26.9pt;width:384.1pt;height:183.5pt;z-index:251659264;mso-position-horizontal:absolute;mso-position-horizontal-relative:margin;mso-position-vertical:absolute;mso-position-vertical-relative:lin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heading 6"/>
                      </w:pPr>
                      <w:r>
                        <w:rPr>
                          <w:rtl w:val="0"/>
                        </w:rPr>
                        <w:t>David Garc</w:t>
                      </w:r>
                      <w:r>
                        <w:rPr>
                          <w:rtl w:val="0"/>
                        </w:rPr>
                        <w:t>í</w:t>
                      </w:r>
                      <w:r>
                        <w:rPr>
                          <w:rtl w:val="0"/>
                        </w:rPr>
                        <w:t xml:space="preserve">a Caballero </w:t>
                      </w:r>
                    </w:p>
                    <w:p>
                      <w:pPr>
                        <w:pStyle w:val="heading 6"/>
                      </w:pPr>
                      <w:r>
                        <w:rPr>
                          <w:rtl w:val="0"/>
                        </w:rPr>
                        <w:t>Parcial 1</w:t>
                      </w:r>
                    </w:p>
                    <w:p>
                      <w:pPr>
                        <w:pStyle w:val="heading 6"/>
                      </w:pPr>
                      <w:r>
                        <w:rPr>
                          <w:rtl w:val="0"/>
                        </w:rPr>
                        <w:t>Farmacologia Terap</w:t>
                      </w:r>
                      <w:r>
                        <w:rPr>
                          <w:rtl w:val="0"/>
                        </w:rPr>
                        <w:t>é</w:t>
                      </w:r>
                      <w:r>
                        <w:rPr>
                          <w:rtl w:val="0"/>
                        </w:rPr>
                        <w:t xml:space="preserve">utica </w:t>
                      </w:r>
                    </w:p>
                    <w:p>
                      <w:pPr>
                        <w:pStyle w:val="heading 6"/>
                      </w:pPr>
                      <w:r>
                        <w:rPr>
                          <w:rtl w:val="0"/>
                        </w:rPr>
                        <w:t xml:space="preserve">DR.Adolfo Brayan Medellin Guillen </w:t>
                      </w:r>
                    </w:p>
                    <w:p>
                      <w:pPr>
                        <w:pStyle w:val="heading 6"/>
                      </w:pPr>
                      <w:r>
                        <w:rPr>
                          <w:rtl w:val="0"/>
                        </w:rPr>
                        <w:t xml:space="preserve">Medicina Humana </w:t>
                      </w:r>
                    </w:p>
                    <w:p>
                      <w:pPr>
                        <w:pStyle w:val="heading 6"/>
                      </w:pPr>
                      <w:r>
                        <w:rPr>
                          <w:rtl w:val="0"/>
                        </w:rPr>
                        <w:t xml:space="preserve">Cuarto Semestre </w:t>
                      </w:r>
                    </w:p>
                  </w:txbxContent>
                </v:textbox>
                <w10:wrap type="topAndBottom" side="bothSides" anchorx="margin"/>
              </v:shape>
            </w:pict>
          </mc:Fallback>
        </mc:AlternateContent>
      </w:r>
    </w:p>
    <w:p>
      <w:pPr>
        <w:pStyle w:val="Nota al pie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Style w:val="Ninguno"/>
          <w:rFonts w:ascii="Gill Sans MT" w:cs="Gill Sans MT" w:hAnsi="Gill Sans MT" w:eastAsia="Gill Sans MT"/>
          <w:outline w:val="0"/>
          <w:color w:val="1f4e79"/>
          <w:u w:color="1f4e79"/>
          <w14:textFill>
            <w14:solidFill>
              <w14:srgbClr w14:val="1F4E79"/>
            </w14:solidFill>
          </w14:textFill>
        </w:rPr>
      </w:pPr>
    </w:p>
    <w:p>
      <w:pPr>
        <w:pStyle w:val="Nota al pie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ectPr>
          <w:headerReference w:type="default" r:id="rId5"/>
          <w:headerReference w:type="first" r:id="rId6"/>
          <w:footerReference w:type="default" r:id="rId7"/>
          <w:footerReference w:type="first" r:id="rId8"/>
          <w:pgSz w:w="12240" w:h="15840" w:orient="portrait"/>
          <w:pgMar w:top="1417" w:right="1701" w:bottom="1417" w:left="1701" w:header="709" w:footer="709"/>
          <w:titlePg w:val="1"/>
          <w:bidi w:val="0"/>
        </w:sectPr>
      </w:pPr>
      <w:r>
        <w:rPr>
          <w:rStyle w:val="Ninguno"/>
          <w:rFonts w:ascii="Gill Sans MT" w:cs="Gill Sans MT" w:hAnsi="Gill Sans MT" w:eastAsia="Gill Sans MT"/>
          <w:outline w:val="0"/>
          <w:color w:val="1f4e79"/>
          <w:u w:color="1f4e79"/>
          <w14:textFill>
            <w14:solidFill>
              <w14:srgbClr w14:val="1F4E79"/>
            </w14:solidFill>
          </w14:textFill>
        </w:rPr>
        <mc:AlternateContent>
          <mc:Choice Requires="wps">
            <w:drawing xmlns:a="http://schemas.openxmlformats.org/drawingml/2006/main">
              <wp:anchor distT="152400" distB="152400" distL="152400" distR="152400" simplePos="0" relativeHeight="251660288" behindDoc="0" locked="0" layoutInCell="1" allowOverlap="1">
                <wp:simplePos x="0" y="0"/>
                <wp:positionH relativeFrom="margin">
                  <wp:posOffset>443511</wp:posOffset>
                </wp:positionH>
                <wp:positionV relativeFrom="line">
                  <wp:posOffset>347928</wp:posOffset>
                </wp:positionV>
                <wp:extent cx="5162269" cy="378564"/>
                <wp:effectExtent l="0" t="0" r="0" b="0"/>
                <wp:wrapTopAndBottom distT="152400" distB="152400"/>
                <wp:docPr id="1073741830" name="officeArt object" descr="Comitán de Domínguez, Chiapas a 03 de Marzo del 2025 .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62269" cy="378564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heading 6"/>
                            </w:pPr>
                            <w:r>
                              <w:rPr>
                                <w:rtl w:val="0"/>
                              </w:rPr>
                              <w:t>Comit</w:t>
                            </w:r>
                            <w:r>
                              <w:rPr>
                                <w:rtl w:val="0"/>
                              </w:rPr>
                              <w:t>á</w:t>
                            </w:r>
                            <w:r>
                              <w:rPr>
                                <w:rtl w:val="0"/>
                              </w:rPr>
                              <w:t>n de Dom</w:t>
                            </w:r>
                            <w:r>
                              <w:rPr>
                                <w:rtl w:val="0"/>
                              </w:rPr>
                              <w:t>í</w:t>
                            </w:r>
                            <w:r>
                              <w:rPr>
                                <w:rtl w:val="0"/>
                              </w:rPr>
                              <w:t xml:space="preserve">nguez, Chiapas a 03 de Marzo del 2025 . 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7" type="#_x0000_t202" style="visibility:visible;position:absolute;margin-left:34.9pt;margin-top:27.4pt;width:406.5pt;height:29.8pt;z-index:251660288;mso-position-horizontal:absolute;mso-position-horizontal-relative:margin;mso-position-vertical:absolute;mso-position-vertical-relative:line;mso-wrap-distance-left:12.0pt;mso-wrap-distance-top:12.0pt;mso-wrap-distance-right:12.0pt;mso-wrap-distance-bottom:12.0pt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heading 6"/>
                      </w:pPr>
                      <w:r>
                        <w:rPr>
                          <w:rtl w:val="0"/>
                        </w:rPr>
                        <w:t>Comit</w:t>
                      </w:r>
                      <w:r>
                        <w:rPr>
                          <w:rtl w:val="0"/>
                        </w:rPr>
                        <w:t>á</w:t>
                      </w:r>
                      <w:r>
                        <w:rPr>
                          <w:rtl w:val="0"/>
                        </w:rPr>
                        <w:t>n de Dom</w:t>
                      </w:r>
                      <w:r>
                        <w:rPr>
                          <w:rtl w:val="0"/>
                        </w:rPr>
                        <w:t>í</w:t>
                      </w:r>
                      <w:r>
                        <w:rPr>
                          <w:rtl w:val="0"/>
                        </w:rPr>
                        <w:t xml:space="preserve">nguez, Chiapas a 03 de Marzo del 2025 . </w:t>
                      </w:r>
                    </w:p>
                  </w:txbxContent>
                </v:textbox>
                <w10:wrap type="topAndBottom" side="bothSides" anchorx="margin"/>
              </v:shape>
            </w:pict>
          </mc:Fallback>
        </mc:AlternateContent>
      </w:r>
      <w:r/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center"/>
        <w:rPr>
          <w:rFonts w:ascii="Impact" w:cs="Impact" w:hAnsi="Impact" w:eastAsia="Impact"/>
          <w:outline w:val="0"/>
          <w:color w:val="000000"/>
          <w:sz w:val="36"/>
          <w:szCs w:val="36"/>
          <w14:textFill>
            <w14:solidFill>
              <w14:srgbClr w14:val="000000"/>
            </w14:solidFill>
          </w14:textFill>
        </w:rPr>
      </w:pPr>
      <w:r>
        <w:rPr>
          <w:rFonts w:ascii="Impact" w:hAnsi="Impact"/>
          <w:outline w:val="0"/>
          <w:color w:val="000000"/>
          <w:sz w:val="36"/>
          <w:szCs w:val="36"/>
          <w:rtl w:val="0"/>
          <w:lang w:val="pt-PT"/>
          <w14:textFill>
            <w14:solidFill>
              <w14:srgbClr w14:val="000000"/>
            </w14:solidFill>
          </w14:textFill>
        </w:rPr>
        <w:t>Definici</w:t>
      </w:r>
      <w:r>
        <w:rPr>
          <w:rFonts w:ascii="Impact" w:hAnsi="Impact" w:hint="default"/>
          <w:outline w:val="0"/>
          <w:color w:val="000000"/>
          <w:sz w:val="36"/>
          <w:szCs w:val="36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Impact" w:hAnsi="Impact"/>
          <w:outline w:val="0"/>
          <w:color w:val="000000"/>
          <w:sz w:val="36"/>
          <w:szCs w:val="36"/>
          <w:rtl w:val="0"/>
          <w:lang w:val="es-ES_tradnl"/>
          <w14:textFill>
            <w14:solidFill>
              <w14:srgbClr w14:val="000000"/>
            </w14:solidFill>
          </w14:textFill>
        </w:rPr>
        <w:t>n y Concepto General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keepNext w:val="1"/>
        <w:keepLines w:val="0"/>
        <w:pageBreakBefore w:val="0"/>
        <w:framePr w:hSpace="0" w:hAnchor="text" w:vAnchor="text" w:wrap="around" w:dropCap="drop" w:lines="3"/>
        <w:widowControl w:val="1"/>
        <w:pBdr>
          <w:bottom w:val="nil"/>
          <w:right w:val="nil"/>
        </w:pBdr>
        <w:shd w:val="clear" w:color="auto" w:fill="aut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bidi w:val="0"/>
        <w:spacing w:before="0" w:after="0" w:line="1034" w:lineRule="exact"/>
        <w:ind w:left="0" w:right="0" w:firstLine="0"/>
        <w:jc w:val="both"/>
        <w:outlineLvl w:val="9"/>
        <w:textAlignment w:val="baseline"/>
        <w:rPr>
          <w:rtl w:val="0"/>
        </w:rPr>
      </w:pPr>
      <w:r>
        <w:rPr>
          <w:rFonts w:ascii="Arial" w:cs="Arial" w:hAnsi="Arial" w:eastAsia="Aria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color w:val="000000"/>
          <w:spacing w:val="0"/>
          <w:kern w:val="0"/>
          <w:position w:val="-9"/>
          <w:sz w:val="120"/>
          <w:szCs w:val="120"/>
          <w:u w:val="none" w:color="1f4e79"/>
          <w:shd w:val="nil" w:color="auto" w:fill="auto"/>
          <w:vertAlign w:val="baseline"/>
          <w:rtl w:val="0"/>
          <w14:textOutline>
            <w14:noFill/>
          </w14:textOutline>
          <w14:textFill>
            <w14:solidFill>
              <w14:srgbClr w14:val="000000"/>
            </w14:solidFill>
          </w14:textFill>
        </w:rPr>
        <w:t>L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os AINEs son un grupo de f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á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rmacos que se utilizan principalmente por sus propiedades analg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sicas, antipir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ticas y antiinflamatorias. Su acci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n terap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utica se fundamenta en la inhibici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de la enzima ciclooxigenasa (COX), que es clave en la conversi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n del 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á</w:t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cido araquid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nico en prostaglandinas y tromboxanos. Las prostaglandinas son mediadores importantes no solo en la inflamaci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y el dolor, sino tambi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en procesos fisiol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gicos como la protecci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de la mucosa g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á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strica, la funci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plaquetaria y el flujo sangu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í</w:t>
      </w:r>
      <w:r>
        <w:rPr>
          <w:rFonts w:ascii="Arial" w:hAnsi="Arial"/>
          <w:outline w:val="0"/>
          <w:color w:val="000000"/>
          <w:rtl w:val="0"/>
          <w:lang w:val="it-IT"/>
          <w14:textFill>
            <w14:solidFill>
              <w14:srgbClr w14:val="000000"/>
            </w14:solidFill>
          </w14:textFill>
        </w:rPr>
        <w:t>neo renal.2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ª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center"/>
        <w:rPr>
          <w:rFonts w:ascii="Impact" w:cs="Impact" w:hAnsi="Impact" w:eastAsia="Impact"/>
          <w:outline w:val="0"/>
          <w:color w:val="3a87fe"/>
          <w:sz w:val="34"/>
          <w:szCs w:val="34"/>
          <w14:textFill>
            <w14:solidFill>
              <w14:srgbClr w14:val="3A87FE"/>
            </w14:solidFill>
          </w14:textFill>
        </w:rPr>
      </w:pPr>
      <w:r>
        <w:rPr>
          <w:rFonts w:ascii="Impact" w:hAnsi="Impact"/>
          <w:outline w:val="0"/>
          <w:color w:val="3a87fe"/>
          <w:sz w:val="34"/>
          <w:szCs w:val="34"/>
          <w:rtl w:val="0"/>
          <w:lang w:val="es-ES_tradnl"/>
          <w14:textFill>
            <w14:solidFill>
              <w14:srgbClr w14:val="3A87FE"/>
            </w14:solidFill>
          </w14:textFill>
        </w:rPr>
        <w:t>Clasificaci</w:t>
      </w:r>
      <w:r>
        <w:rPr>
          <w:rFonts w:ascii="Impact" w:hAnsi="Impact" w:hint="default"/>
          <w:outline w:val="0"/>
          <w:color w:val="3a87fe"/>
          <w:sz w:val="34"/>
          <w:szCs w:val="34"/>
          <w:rtl w:val="0"/>
          <w14:textFill>
            <w14:solidFill>
              <w14:srgbClr w14:val="3A87FE"/>
            </w14:solidFill>
          </w14:textFill>
        </w:rPr>
        <w:t>ó</w:t>
      </w:r>
      <w:r>
        <w:rPr>
          <w:rFonts w:ascii="Impact" w:hAnsi="Impact"/>
          <w:outline w:val="0"/>
          <w:color w:val="3a87fe"/>
          <w:sz w:val="34"/>
          <w:szCs w:val="34"/>
          <w:rtl w:val="0"/>
          <w:lang w:val="es-ES_tradnl"/>
          <w14:textFill>
            <w14:solidFill>
              <w14:srgbClr w14:val="3A87FE"/>
            </w14:solidFill>
          </w14:textFill>
        </w:rPr>
        <w:t>n de los AINEs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La clasificaci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de los AINEs puede abordarse desde dos perspectivas: por su estructura qu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í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mica y por su selectividad en la inhibici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de las enzimas COX.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center"/>
        <w:rPr>
          <w:rFonts w:ascii="Impact" w:cs="Impact" w:hAnsi="Impact" w:eastAsia="Impact"/>
          <w:outline w:val="0"/>
          <w:color w:val="3a87fe"/>
          <w:sz w:val="32"/>
          <w:szCs w:val="32"/>
          <w14:textFill>
            <w14:solidFill>
              <w14:srgbClr w14:val="3A87FE"/>
            </w14:solidFill>
          </w14:textFill>
        </w:rPr>
      </w:pPr>
      <w:r>
        <w:rPr>
          <w:rFonts w:ascii="Impact" w:hAnsi="Impact"/>
          <w:outline w:val="0"/>
          <w:color w:val="3a87fe"/>
          <w:sz w:val="32"/>
          <w:szCs w:val="32"/>
          <w:rtl w:val="0"/>
          <w:lang w:val="es-ES_tradnl"/>
          <w14:textFill>
            <w14:solidFill>
              <w14:srgbClr w14:val="3A87FE"/>
            </w14:solidFill>
          </w14:textFill>
        </w:rPr>
        <w:t>Clasificaci</w:t>
      </w:r>
      <w:r>
        <w:rPr>
          <w:rFonts w:ascii="Impact" w:hAnsi="Impact" w:hint="default"/>
          <w:outline w:val="0"/>
          <w:color w:val="3a87fe"/>
          <w:sz w:val="32"/>
          <w:szCs w:val="32"/>
          <w:rtl w:val="0"/>
          <w14:textFill>
            <w14:solidFill>
              <w14:srgbClr w14:val="3A87FE"/>
            </w14:solidFill>
          </w14:textFill>
        </w:rPr>
        <w:t>ó</w:t>
      </w:r>
      <w:r>
        <w:rPr>
          <w:rFonts w:ascii="Impact" w:hAnsi="Impact"/>
          <w:outline w:val="0"/>
          <w:color w:val="3a87fe"/>
          <w:sz w:val="32"/>
          <w:szCs w:val="32"/>
          <w:rtl w:val="0"/>
          <w14:textFill>
            <w14:solidFill>
              <w14:srgbClr w14:val="3A87FE"/>
            </w14:solidFill>
          </w14:textFill>
        </w:rPr>
        <w:t>n seg</w:t>
      </w:r>
      <w:r>
        <w:rPr>
          <w:rFonts w:ascii="Impact" w:hAnsi="Impact" w:hint="default"/>
          <w:outline w:val="0"/>
          <w:color w:val="3a87fe"/>
          <w:sz w:val="32"/>
          <w:szCs w:val="32"/>
          <w:rtl w:val="0"/>
          <w14:textFill>
            <w14:solidFill>
              <w14:srgbClr w14:val="3A87FE"/>
            </w14:solidFill>
          </w14:textFill>
        </w:rPr>
        <w:t>ú</w:t>
      </w:r>
      <w:r>
        <w:rPr>
          <w:rFonts w:ascii="Impact" w:hAnsi="Impact"/>
          <w:outline w:val="0"/>
          <w:color w:val="3a87fe"/>
          <w:sz w:val="32"/>
          <w:szCs w:val="32"/>
          <w:rtl w:val="0"/>
          <w:lang w:val="es-ES_tradnl"/>
          <w14:textFill>
            <w14:solidFill>
              <w14:srgbClr w14:val="3A87FE"/>
            </w14:solidFill>
          </w14:textFill>
        </w:rPr>
        <w:t>n la estructura qu</w:t>
      </w:r>
      <w:r>
        <w:rPr>
          <w:rFonts w:ascii="Impact" w:hAnsi="Impact" w:hint="default"/>
          <w:outline w:val="0"/>
          <w:color w:val="3a87fe"/>
          <w:sz w:val="32"/>
          <w:szCs w:val="32"/>
          <w:rtl w:val="0"/>
          <w14:textFill>
            <w14:solidFill>
              <w14:srgbClr w14:val="3A87FE"/>
            </w14:solidFill>
          </w14:textFill>
        </w:rPr>
        <w:t>í</w:t>
      </w:r>
      <w:r>
        <w:rPr>
          <w:rFonts w:ascii="Impact" w:hAnsi="Impact"/>
          <w:outline w:val="0"/>
          <w:color w:val="3a87fe"/>
          <w:sz w:val="32"/>
          <w:szCs w:val="32"/>
          <w:rtl w:val="0"/>
          <w:lang w:val="it-IT"/>
          <w14:textFill>
            <w14:solidFill>
              <w14:srgbClr w14:val="3A87FE"/>
            </w14:solidFill>
          </w14:textFill>
        </w:rPr>
        <w:t>mica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Los AINEs se agrupan en diferentes familias, las cuales se definen por similitudes en su estructura molecular. Las principales familias son: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•</w:t>
        <w:tab/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Salicilatos (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Á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cido acetilsalic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í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lico y derivados):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Á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cido acetilsalic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í</w:t>
      </w:r>
      <w:r>
        <w:rPr>
          <w:rFonts w:ascii="Arial" w:hAnsi="Arial"/>
          <w:outline w:val="0"/>
          <w:color w:val="000000"/>
          <w:rtl w:val="0"/>
          <w:lang w:val="it-IT"/>
          <w14:textFill>
            <w14:solidFill>
              <w14:srgbClr w14:val="000000"/>
            </w14:solidFill>
          </w14:textFill>
        </w:rPr>
        <w:t>lico (aspirina).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•</w:t>
        <w:tab/>
      </w:r>
      <w:r>
        <w:rPr>
          <w:rFonts w:ascii="Arial" w:hAnsi="Arial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Caracter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í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sticas: Inhibe de forma irreversible la COX-1, con efecto antiplaquetario y reducci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de la inflamaci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n. Su uso en dosis bajas es fundamental en la prevenci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n cardiovascular.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•</w:t>
        <w:tab/>
        <w:t>Á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cidos Propi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nicos:</w:t>
      </w:r>
    </w:p>
    <w:p>
      <w:pPr>
        <w:pStyle w:val="Predeterminado"/>
        <w:numPr>
          <w:ilvl w:val="0"/>
          <w:numId w:val="2"/>
        </w:numPr>
        <w:suppressAutoHyphens w:val="1"/>
        <w:spacing w:line="300" w:lineRule="auto"/>
        <w:jc w:val="both"/>
        <w:rPr>
          <w:rFonts w:ascii="Arial" w:hAnsi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hAnsi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Ibuprofeno, naproxeno, ketoprofeno.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•</w:t>
        <w:tab/>
      </w:r>
      <w:r>
        <w:rPr>
          <w:rFonts w:ascii="Arial" w:hAnsi="Arial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Caracter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í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sticas: Generalmente tienen buena absorci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oral y vidas medias que pueden variar (por ejemplo, el naproxeno posee una vida media prolongada), permitiendo su uso en cuadros de dolor leve a moderado y procesos inflamatorios.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it-IT"/>
          <w14:textFill>
            <w14:solidFill>
              <w14:srgbClr w14:val="000000"/>
            </w14:solidFill>
          </w14:textFill>
        </w:rPr>
        <w:t>Indolacos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á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ridos: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 xml:space="preserve"> </w:t>
      </w:r>
      <w:r>
        <w:rPr>
          <w:rFonts w:ascii="Arial" w:hAnsi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Indometacina.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hAnsi="Arial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Caracter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í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sticas: Posee un potente efecto antiinflamatorio, pero se asocia a un mayor riesgo de efectos secundarios, especialmente gastrointestinales y del sistema nervioso central (cefalea, mareos).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Oxicams: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Ejemplo: Piroxicam.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•</w:t>
        <w:tab/>
      </w:r>
      <w:r>
        <w:rPr>
          <w:rFonts w:ascii="Arial" w:hAnsi="Arial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Caracter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í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sticas: Destaca por su larga vida media, lo que permite una dosificaci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n diaria 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ú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nica; sin embargo, su perfil de efectos secundarios (especialmente en pacientes de edad avanzada) requiere precauci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n.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Fenilac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ticos: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 xml:space="preserve"> </w:t>
      </w:r>
      <w:r>
        <w:rPr>
          <w:rFonts w:ascii="Arial" w:hAnsi="Arial"/>
          <w:outline w:val="0"/>
          <w:color w:val="000000"/>
          <w:rtl w:val="0"/>
          <w:lang w:val="en-US"/>
          <w14:textFill>
            <w14:solidFill>
              <w14:srgbClr w14:val="000000"/>
            </w14:solidFill>
          </w14:textFill>
        </w:rPr>
        <w:t>Diclofenaco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•</w:t>
        <w:tab/>
      </w:r>
      <w:r>
        <w:rPr>
          <w:rFonts w:ascii="Arial" w:hAnsi="Arial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Caracter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í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sticas: Se utiliza en el manejo del dolor agudo y cr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nico, con buena penetraci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en tejidos inflamados. No obstante, se debe tener cuidado con el riesgo cardiovascular, especialmente en pacientes con comorbilidades.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center"/>
        <w:rPr>
          <w:rFonts w:ascii="Impact" w:cs="Impact" w:hAnsi="Impact" w:eastAsia="Impact"/>
          <w:outline w:val="0"/>
          <w:color w:val="3a87fe"/>
          <w:sz w:val="36"/>
          <w:szCs w:val="36"/>
          <w14:textFill>
            <w14:solidFill>
              <w14:srgbClr w14:val="3A87FE"/>
            </w14:solidFill>
          </w14:textFill>
        </w:rPr>
      </w:pPr>
      <w:r>
        <w:rPr>
          <w:rFonts w:ascii="Impact" w:hAnsi="Impact"/>
          <w:outline w:val="0"/>
          <w:color w:val="3a87fe"/>
          <w:sz w:val="36"/>
          <w:szCs w:val="36"/>
          <w:rtl w:val="0"/>
          <w:lang w:val="es-ES_tradnl"/>
          <w14:textFill>
            <w14:solidFill>
              <w14:srgbClr w14:val="3A87FE"/>
            </w14:solidFill>
          </w14:textFill>
        </w:rPr>
        <w:t>Mecanismo de Acci</w:t>
      </w:r>
      <w:r>
        <w:rPr>
          <w:rFonts w:ascii="Impact" w:hAnsi="Impact" w:hint="default"/>
          <w:outline w:val="0"/>
          <w:color w:val="3a87fe"/>
          <w:sz w:val="36"/>
          <w:szCs w:val="36"/>
          <w:rtl w:val="0"/>
          <w14:textFill>
            <w14:solidFill>
              <w14:srgbClr w14:val="3A87FE"/>
            </w14:solidFill>
          </w14:textFill>
        </w:rPr>
        <w:t>ó</w:t>
      </w:r>
      <w:r>
        <w:rPr>
          <w:rFonts w:ascii="Impact" w:hAnsi="Impact"/>
          <w:outline w:val="0"/>
          <w:color w:val="3a87fe"/>
          <w:sz w:val="36"/>
          <w:szCs w:val="36"/>
          <w:rtl w:val="0"/>
          <w14:textFill>
            <w14:solidFill>
              <w14:srgbClr w14:val="3A87FE"/>
            </w14:solidFill>
          </w14:textFill>
        </w:rPr>
        <w:t>n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El mecanismo de acci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de los AINEs se centra en la inhibici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 xml:space="preserve">n de la ciclooxigenasa, enzima encargada de transformar el 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á</w:t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cido araquid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nico en prostaglandinas y tromboxanos.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Inhibici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nl-NL"/>
          <w14:textFill>
            <w14:solidFill>
              <w14:srgbClr w14:val="000000"/>
            </w14:solidFill>
          </w14:textFill>
        </w:rPr>
        <w:t>n de COX: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No selectivos: Act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ú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an de forma competitiva y, en la mayor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í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a de los casos, reversible sobre ambas isoformas (COX-1 y COX-2).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AINEs irreversibles: Como la aspirina, que forma un enlace covalente con la COX-1, produciendo una inhibici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prolongada y disminuyendo la capacidad agregante de las plaquetas.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Consecuencias: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Disminuci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n de la s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í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ntesis de prostaglandinas proinflamatorias y mediadores del dolor.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it-IT"/>
          <w14:textFill>
            <w14:solidFill>
              <w14:srgbClr w14:val="000000"/>
            </w14:solidFill>
          </w14:textFill>
        </w:rPr>
        <w:t>Reducci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de la fiebre, ya que las prostaglandinas tambi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n act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ú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an en el centro termorregulador del hipot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á</w:t>
      </w:r>
      <w:r>
        <w:rPr>
          <w:rFonts w:ascii="Arial" w:hAnsi="Arial"/>
          <w:outline w:val="0"/>
          <w:color w:val="000000"/>
          <w:rtl w:val="0"/>
          <w:lang w:val="it-IT"/>
          <w14:textFill>
            <w14:solidFill>
              <w14:srgbClr w14:val="000000"/>
            </w14:solidFill>
          </w14:textFill>
        </w:rPr>
        <w:t>lamo.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Efectos antiplaquetarios (especialmente en el caso de la aspirina), lo que resulta beneficioso en prevenci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de eventos cardiovasculares en dosis bajas, pero aumenta el riesgo de hemorragia en otros contextos.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center"/>
        <w:rPr>
          <w:rFonts w:ascii="Impact" w:cs="Impact" w:hAnsi="Impact" w:eastAsia="Impact"/>
          <w:outline w:val="0"/>
          <w:color w:val="3a87fe"/>
          <w:sz w:val="30"/>
          <w:szCs w:val="30"/>
          <w14:textFill>
            <w14:solidFill>
              <w14:srgbClr w14:val="3A87FE"/>
            </w14:solidFill>
          </w14:textFill>
        </w:rPr>
      </w:pPr>
      <w:r>
        <w:rPr>
          <w:rFonts w:ascii="Impact" w:hAnsi="Impact"/>
          <w:outline w:val="0"/>
          <w:color w:val="3a87fe"/>
          <w:sz w:val="30"/>
          <w:szCs w:val="30"/>
          <w:rtl w:val="0"/>
          <w:lang w:val="fr-FR"/>
          <w14:textFill>
            <w14:solidFill>
              <w14:srgbClr w14:val="3A87FE"/>
            </w14:solidFill>
          </w14:textFill>
        </w:rPr>
        <w:t>Caracter</w:t>
      </w:r>
      <w:r>
        <w:rPr>
          <w:rFonts w:ascii="Impact" w:hAnsi="Impact" w:hint="default"/>
          <w:outline w:val="0"/>
          <w:color w:val="3a87fe"/>
          <w:sz w:val="30"/>
          <w:szCs w:val="30"/>
          <w:rtl w:val="0"/>
          <w14:textFill>
            <w14:solidFill>
              <w14:srgbClr w14:val="3A87FE"/>
            </w14:solidFill>
          </w14:textFill>
        </w:rPr>
        <w:t>í</w:t>
      </w:r>
      <w:r>
        <w:rPr>
          <w:rFonts w:ascii="Impact" w:hAnsi="Impact"/>
          <w:outline w:val="0"/>
          <w:color w:val="3a87fe"/>
          <w:sz w:val="30"/>
          <w:szCs w:val="30"/>
          <w:rtl w:val="0"/>
          <w:lang w:val="es-ES_tradnl"/>
          <w14:textFill>
            <w14:solidFill>
              <w14:srgbClr w14:val="3A87FE"/>
            </w14:solidFill>
          </w14:textFill>
        </w:rPr>
        <w:t>sticas Individuales de Cada Grupo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Cada familia de AINEs presenta caracter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í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sticas propias que influyen en su selecci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n cl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í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nica y perfil de seguridad: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Salicilatos (Aspirina):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Farmacocin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it-IT"/>
          <w14:textFill>
            <w14:solidFill>
              <w14:srgbClr w14:val="000000"/>
            </w14:solidFill>
          </w14:textFill>
        </w:rPr>
        <w:t>tica: R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á</w:t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pida absorci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n oral, inhibici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n irreversible de la COX-1.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Uso terap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utico: Prevenci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de eventos cardiovasculares, analgesia y antipir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it-IT"/>
          <w14:textFill>
            <w14:solidFill>
              <w14:srgbClr w14:val="000000"/>
            </w14:solidFill>
          </w14:textFill>
        </w:rPr>
        <w:t>tica.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-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 xml:space="preserve">Consideraciones: Riesgo de 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ú</w:t>
      </w:r>
      <w:r>
        <w:rPr>
          <w:rFonts w:ascii="Arial" w:hAnsi="Arial"/>
          <w:outline w:val="0"/>
          <w:color w:val="000000"/>
          <w:rtl w:val="0"/>
          <w:lang w:val="sv-SE"/>
          <w14:textFill>
            <w14:solidFill>
              <w14:srgbClr w14:val="000000"/>
            </w14:solidFill>
          </w14:textFill>
        </w:rPr>
        <w:t>lceras g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á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stricas y sangrado, contraindicado en ni</w:t>
      </w:r>
      <w:r>
        <w:rPr>
          <w:rFonts w:ascii="Arial" w:hAnsi="Arial" w:hint="default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ñ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os debido a la posibilidad del s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í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ndrome de Reye.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  <w:t>Á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cidos Propi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nicos (Ibuprofeno, Naproxeno, Ketoprofeno):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Farmacocin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tica: Buena absorci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y distribuci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n; el naproxeno destaca por su vida media prolongada, lo que permite intervalos de dosificaci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mayores.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Uso terap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utico: Manejo de dolor leve a moderado, inflamaci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y fiebre.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Consideraciones: Generalmente mejor tolerados a nivel gastrointestinal que otros AINEs, pero requieren precauci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en pacientes con funci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renal comprometida.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it-IT"/>
          <w14:textFill>
            <w14:solidFill>
              <w14:srgbClr w14:val="000000"/>
            </w14:solidFill>
          </w14:textFill>
        </w:rPr>
        <w:t>Indolacos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á</w:t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ridos (Indometacina):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Farmacocin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tica: Potente efecto antiinflamatorio, con absorci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variable.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Uso terap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utico: Condiciones inflamatorias severas, como artritis reumatoide, gota y espondilitis anquilosante.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Consideraciones: Mayor incidencia de efectos secundarios gastrointestinales y del sistema nervioso central, lo que puede limitar su uso prolongado.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Oxicams (Piroxicam):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Farmacocin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tica: Larga vida media que permite una dosificaci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it-IT"/>
          <w14:textFill>
            <w14:solidFill>
              <w14:srgbClr w14:val="000000"/>
            </w14:solidFill>
          </w14:textFill>
        </w:rPr>
        <w:t xml:space="preserve">n diaria 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ú</w:t>
      </w:r>
      <w:r>
        <w:rPr>
          <w:rFonts w:ascii="Arial" w:hAnsi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nica.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Uso terap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utico: Trastornos inflamatorios cr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nicos como la artritis reumatoide y osteoartritis.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Consideraciones: Mayor riesgo de efectos adversos en pacientes ancianos, siendo necesaria la monitorizaci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n.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Fenilac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ticos (Diclofenaco):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Farmacocin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tica: Buena penetraci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en tejidos inflamados y acci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it-IT"/>
          <w14:textFill>
            <w14:solidFill>
              <w14:srgbClr w14:val="000000"/>
            </w14:solidFill>
          </w14:textFill>
        </w:rPr>
        <w:t>n relativamente r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á</w:t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pida.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Uso terap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utico: Manejo de dolor agudo y cr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nico, incluyendo postoperatorio y enfermedades inflamatorias.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Consideraciones: Se ha asociado a un riesgo cardiovascular potencialmente elevado, por lo que su uso debe ser evaluado en pacientes con factores de riesgo.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AINEs Selectivos COX-2 (Celecoxib, Etoricoxib):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Farmacocin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tica: Disposici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similar a otros AINEs, pero con mayor selectividad que reduce la afectaci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n de la COX-1.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Uso terap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utico: Tratamiento de la artritis y otros estados inflamatorios, con ventaja en la reducci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n de efectos gastrointestinales.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Consideraciones: Precauci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en pacientes con antecedentes cardiovasculares, debido a la posibilidad de eventos adversos en este sistema.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center"/>
        <w:rPr>
          <w:rFonts w:ascii="Impact" w:cs="Impact" w:hAnsi="Impact" w:eastAsia="Impact"/>
          <w:outline w:val="0"/>
          <w:color w:val="3a87fe"/>
          <w:sz w:val="34"/>
          <w:szCs w:val="34"/>
          <w14:textFill>
            <w14:solidFill>
              <w14:srgbClr w14:val="3A87FE"/>
            </w14:solidFill>
          </w14:textFill>
        </w:rPr>
      </w:pPr>
      <w:r>
        <w:rPr>
          <w:rFonts w:ascii="Impact" w:hAnsi="Impact"/>
          <w:outline w:val="0"/>
          <w:color w:val="3a87fe"/>
          <w:sz w:val="34"/>
          <w:szCs w:val="34"/>
          <w:rtl w:val="0"/>
          <w:lang w:val="es-ES_tradnl"/>
          <w14:textFill>
            <w14:solidFill>
              <w14:srgbClr w14:val="3A87FE"/>
            </w14:solidFill>
          </w14:textFill>
        </w:rPr>
        <w:t>Interacciones Farmacol</w:t>
      </w:r>
      <w:r>
        <w:rPr>
          <w:rFonts w:ascii="Impact" w:hAnsi="Impact" w:hint="default"/>
          <w:outline w:val="0"/>
          <w:color w:val="3a87fe"/>
          <w:sz w:val="34"/>
          <w:szCs w:val="34"/>
          <w:rtl w:val="0"/>
          <w14:textFill>
            <w14:solidFill>
              <w14:srgbClr w14:val="3A87FE"/>
            </w14:solidFill>
          </w14:textFill>
        </w:rPr>
        <w:t>ó</w:t>
      </w:r>
      <w:r>
        <w:rPr>
          <w:rFonts w:ascii="Impact" w:hAnsi="Impact"/>
          <w:outline w:val="0"/>
          <w:color w:val="3a87fe"/>
          <w:sz w:val="34"/>
          <w:szCs w:val="34"/>
          <w:rtl w:val="0"/>
          <w:lang w:val="pt-PT"/>
          <w14:textFill>
            <w14:solidFill>
              <w14:srgbClr w14:val="3A87FE"/>
            </w14:solidFill>
          </w14:textFill>
        </w:rPr>
        <w:t>gicas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Los AINEs pueden interactuar con otros f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á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rmacos, lo que puede alterar tanto su eficacia como aumentar el riesgo de efectos adversos. Algunas interacciones importantes incluyen: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Con Anticoagulantes y Antiagregantes: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La combinaci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it-IT"/>
          <w14:textFill>
            <w14:solidFill>
              <w14:srgbClr w14:val="000000"/>
            </w14:solidFill>
          </w14:textFill>
        </w:rPr>
        <w:t>n con f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á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rmacos como la warfarina o incluso dosis bajas de aspirina (si se usan con otros AINEs) puede potenciar el riesgo de sangrado, especialmente gastrointestinal.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Con Inhibidores de la ECA y Diur</w:t>
      </w:r>
      <w:r>
        <w:rPr>
          <w:rFonts w:ascii="Arial" w:hAnsi="Arial" w:hint="default"/>
          <w:outline w:val="0"/>
          <w:color w:val="000000"/>
          <w:rtl w:val="0"/>
          <w:lang w:val="fr-FR"/>
          <w14:textFill>
            <w14:solidFill>
              <w14:srgbClr w14:val="000000"/>
            </w14:solidFill>
          </w14:textFill>
        </w:rPr>
        <w:t>é</w:t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ticos: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El uso concomitante puede disminuir la funci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renal, en especial en pacientes con insuficiencia renal, deshidrataci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 o en situaciones de hipoperfusi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n.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it-IT"/>
          <w14:textFill>
            <w14:solidFill>
              <w14:srgbClr w14:val="000000"/>
            </w14:solidFill>
          </w14:textFill>
        </w:rPr>
        <w:t>Con Corticosteroides: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La combinaci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 xml:space="preserve">n aumenta el riesgo de 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ú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lceras y hemorragias gastrointestinales.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Con Otros AINEs o Medicamentos con Riesgo GI: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El uso concomitante puede potenciar la toxicidad g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á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strica, haciendo necesario el uso de protectores g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á</w:t>
      </w:r>
      <w:r>
        <w:rPr>
          <w:rFonts w:ascii="Arial" w:hAnsi="Arial"/>
          <w:outline w:val="0"/>
          <w:color w:val="000000"/>
          <w:rtl w:val="0"/>
          <w:lang w:val="pt-PT"/>
          <w14:textFill>
            <w14:solidFill>
              <w14:srgbClr w14:val="000000"/>
            </w14:solidFill>
          </w14:textFill>
        </w:rPr>
        <w:t>stricos.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72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it-IT"/>
          <w14:textFill>
            <w14:solidFill>
              <w14:srgbClr w14:val="000000"/>
            </w14:solidFill>
          </w14:textFill>
        </w:rPr>
        <w:t>Con F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á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rmacos como Litio y Metotrexato: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  <w:r>
        <w:rPr>
          <w:rFonts w:ascii="Arial" w:cs="Arial" w:hAnsi="Arial" w:eastAsia="Arial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ab/>
        <w:t>•</w:t>
        <w:tab/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Los AINEs pueden interferir en su eliminaci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ó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n, elevando los niveles plasm</w:t>
      </w:r>
      <w:r>
        <w:rPr>
          <w:rFonts w:ascii="Arial" w:hAnsi="Arial" w:hint="default"/>
          <w:outline w:val="0"/>
          <w:color w:val="000000"/>
          <w:rtl w:val="0"/>
          <w14:textFill>
            <w14:solidFill>
              <w14:srgbClr w14:val="000000"/>
            </w14:solidFill>
          </w14:textFill>
        </w:rPr>
        <w:t>á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ticos y aumentando el riesgo de toxicidad.</w:t>
      </w: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spacing w:line="300" w:lineRule="auto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ind w:left="1440" w:firstLine="0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jc w:val="both"/>
        <w:rPr>
          <w:rFonts w:ascii="Arial" w:cs="Arial" w:hAnsi="Arial" w:eastAsia="Arial"/>
          <w:outline w:val="0"/>
          <w:color w:val="000000"/>
          <w14:textFill>
            <w14:solidFill>
              <w14:srgbClr w14:val="000000"/>
            </w14:solidFill>
          </w14:textFill>
        </w:rPr>
      </w:pPr>
    </w:p>
    <w:tbl>
      <w:tblPr>
        <w:tblW w:w="12952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2158"/>
        <w:gridCol w:w="2159"/>
        <w:gridCol w:w="2159"/>
        <w:gridCol w:w="2159"/>
        <w:gridCol w:w="2159"/>
        <w:gridCol w:w="2158"/>
      </w:tblGrid>
      <w:tr>
        <w:tblPrEx>
          <w:shd w:val="clear" w:color="auto" w:fill="bdc0bf"/>
        </w:tblPrEx>
        <w:trPr>
          <w:trHeight w:val="485" w:hRule="atLeast"/>
          <w:tblHeader/>
        </w:trPr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a7c6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1"/>
              <w:bidi w:val="0"/>
            </w:pPr>
            <w:r>
              <w:rPr>
                <w:rFonts w:ascii="Helvetica Neue" w:cs="Arial Unicode MS" w:hAnsi="Helvetica Neue" w:eastAsia="Arial Unicode MS"/>
              </w:rPr>
              <w:t>F</w:t>
            </w:r>
            <w:r>
              <w:rPr>
                <w:rFonts w:ascii="Helvetica Neue" w:cs="Arial Unicode MS" w:hAnsi="Helvetica Neue" w:eastAsia="Arial Unicode MS" w:hint="default"/>
              </w:rPr>
              <w:t>á</w:t>
            </w:r>
            <w:r>
              <w:rPr>
                <w:rFonts w:ascii="Helvetica Neue" w:cs="Arial Unicode MS" w:hAnsi="Helvetica Neue" w:eastAsia="Arial Unicode MS"/>
              </w:rPr>
              <w:t xml:space="preserve">rmacos 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a7c6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1"/>
              <w:bidi w:val="0"/>
            </w:pPr>
            <w:r>
              <w:rPr>
                <w:rFonts w:ascii="Helvetica Neue" w:cs="Arial Unicode MS" w:hAnsi="Helvetica Neue" w:eastAsia="Arial Unicode MS"/>
              </w:rPr>
              <w:t xml:space="preserve">Familia/estructura 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a7c6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1"/>
              <w:bidi w:val="0"/>
            </w:pPr>
            <w:r>
              <w:rPr>
                <w:rFonts w:ascii="Helvetica Neue" w:cs="Arial Unicode MS" w:hAnsi="Helvetica Neue" w:eastAsia="Arial Unicode MS"/>
              </w:rPr>
              <w:t>Selectividad COX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a7c6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1"/>
              <w:bidi w:val="0"/>
            </w:pPr>
            <w:r>
              <w:rPr>
                <w:rFonts w:ascii="Helvetica Neue" w:cs="Arial Unicode MS" w:hAnsi="Helvetica Neue" w:eastAsia="Arial Unicode MS"/>
              </w:rPr>
              <w:t>Indicaciones terap</w:t>
            </w:r>
            <w:r>
              <w:rPr>
                <w:rFonts w:ascii="Helvetica Neue" w:cs="Arial Unicode MS" w:hAnsi="Helvetica Neue" w:eastAsia="Arial Unicode MS" w:hint="default"/>
              </w:rPr>
              <w:t>é</w:t>
            </w:r>
            <w:r>
              <w:rPr>
                <w:rFonts w:ascii="Helvetica Neue" w:cs="Arial Unicode MS" w:hAnsi="Helvetica Neue" w:eastAsia="Arial Unicode MS"/>
              </w:rPr>
              <w:t xml:space="preserve">uticas 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a7c6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1"/>
              <w:bidi w:val="0"/>
            </w:pPr>
            <w:r>
              <w:rPr>
                <w:rFonts w:ascii="Helvetica Neue" w:cs="Arial Unicode MS" w:hAnsi="Helvetica Neue" w:eastAsia="Arial Unicode MS"/>
              </w:rPr>
              <w:t>Posolog</w:t>
            </w:r>
            <w:r>
              <w:rPr>
                <w:rFonts w:ascii="Helvetica Neue" w:cs="Arial Unicode MS" w:hAnsi="Helvetica Neue" w:eastAsia="Arial Unicode MS" w:hint="default"/>
              </w:rPr>
              <w:t>í</w:t>
            </w:r>
            <w:r>
              <w:rPr>
                <w:rFonts w:ascii="Helvetica Neue" w:cs="Arial Unicode MS" w:hAnsi="Helvetica Neue" w:eastAsia="Arial Unicode MS"/>
              </w:rPr>
              <w:t>a (adulto)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6" w:space="0" w:shadow="0" w:frame="0"/>
              <w:right w:val="single" w:color="000000" w:sz="2" w:space="0" w:shadow="0" w:frame="0"/>
            </w:tcBorders>
            <w:shd w:val="clear" w:color="auto" w:fill="a7c6ff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1"/>
              <w:bidi w:val="0"/>
            </w:pPr>
            <w:r>
              <w:rPr>
                <w:rFonts w:ascii="Helvetica Neue" w:cs="Arial Unicode MS" w:hAnsi="Helvetica Neue" w:eastAsia="Arial Unicode MS"/>
              </w:rPr>
              <w:t xml:space="preserve">Observaciones </w:t>
            </w:r>
          </w:p>
        </w:tc>
      </w:tr>
      <w:tr>
        <w:tblPrEx>
          <w:shd w:val="clear" w:color="auto" w:fill="auto"/>
        </w:tblPrEx>
        <w:trPr>
          <w:trHeight w:val="1451" w:hRule="atLeast"/>
        </w:trPr>
        <w:tc>
          <w:tcPr>
            <w:tcW w:type="dxa" w:w="2158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93e3fd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1"/>
              <w:bidi w:val="0"/>
            </w:pPr>
            <w:r>
              <w:rPr>
                <w:rFonts w:ascii="Helvetica Neue" w:cs="Arial Unicode MS" w:hAnsi="Helvetica Neue" w:eastAsia="Arial Unicode MS" w:hint="default"/>
              </w:rPr>
              <w:t>Á</w:t>
            </w:r>
            <w:r>
              <w:rPr>
                <w:rFonts w:ascii="Helvetica Neue" w:cs="Arial Unicode MS" w:hAnsi="Helvetica Neue" w:eastAsia="Arial Unicode MS"/>
              </w:rPr>
              <w:t xml:space="preserve">cido acetilsalicilico </w:t>
            </w:r>
          </w:p>
        </w:tc>
        <w:tc>
          <w:tcPr>
            <w:tcW w:type="dxa" w:w="2158"/>
            <w:tcBorders>
              <w:top w:val="single" w:color="000000" w:sz="6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2"/>
              <w:bidi w:val="0"/>
            </w:pPr>
            <w:r>
              <w:rPr>
                <w:rFonts w:ascii="Helvetica Neue" w:cs="Arial Unicode MS" w:hAnsi="Helvetica Neue" w:eastAsia="Arial Unicode MS"/>
              </w:rPr>
              <w:t>Salicilatos (ASPIRINA)</w:t>
            </w:r>
          </w:p>
        </w:tc>
        <w:tc>
          <w:tcPr>
            <w:tcW w:type="dxa" w:w="2158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2"/>
              <w:bidi w:val="0"/>
            </w:pPr>
            <w:r>
              <w:rPr>
                <w:rFonts w:ascii="Helvetica Neue" w:cs="Arial Unicode MS" w:hAnsi="Helvetica Neue" w:eastAsia="Arial Unicode MS"/>
              </w:rPr>
              <w:t>No selectivo (inhibici</w:t>
            </w:r>
            <w:r>
              <w:rPr>
                <w:rFonts w:ascii="Helvetica Neue" w:cs="Arial Unicode MS" w:hAnsi="Helvetica Neue" w:eastAsia="Arial Unicode MS" w:hint="default"/>
              </w:rPr>
              <w:t>ó</w:t>
            </w:r>
            <w:r>
              <w:rPr>
                <w:rFonts w:ascii="Helvetica Neue" w:cs="Arial Unicode MS" w:hAnsi="Helvetica Neue" w:eastAsia="Arial Unicode MS"/>
              </w:rPr>
              <w:t>n irreversible de COX-1)</w:t>
            </w:r>
          </w:p>
        </w:tc>
        <w:tc>
          <w:tcPr>
            <w:tcW w:type="dxa" w:w="2158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2"/>
              <w:bidi w:val="0"/>
            </w:pPr>
            <w:r>
              <w:rPr>
                <w:rFonts w:ascii="Helvetica Neue" w:cs="Arial Unicode MS" w:hAnsi="Helvetica Neue" w:eastAsia="Arial Unicode MS"/>
              </w:rPr>
              <w:t>Prevenci</w:t>
            </w:r>
            <w:r>
              <w:rPr>
                <w:rFonts w:ascii="Helvetica Neue" w:cs="Arial Unicode MS" w:hAnsi="Helvetica Neue" w:eastAsia="Arial Unicode MS" w:hint="default"/>
              </w:rPr>
              <w:t>ó</w:t>
            </w:r>
            <w:r>
              <w:rPr>
                <w:rFonts w:ascii="Helvetica Neue" w:cs="Arial Unicode MS" w:hAnsi="Helvetica Neue" w:eastAsia="Arial Unicode MS"/>
              </w:rPr>
              <w:t xml:space="preserve">n cardiovascular, dolor, fiebre </w:t>
            </w:r>
          </w:p>
        </w:tc>
        <w:tc>
          <w:tcPr>
            <w:tcW w:type="dxa" w:w="2158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75-325 mg/d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í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a para cardioprotecci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ó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n; 500-1000 mg</w:t>
            </w:r>
          </w:p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cada 4-6 horas para analgesia</w:t>
            </w:r>
          </w:p>
        </w:tc>
        <w:tc>
          <w:tcPr>
            <w:tcW w:type="dxa" w:w="2158"/>
            <w:tcBorders>
              <w:top w:val="single" w:color="000000" w:sz="6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Riesgo gastrointestinal y de sangrado; contraindicado en ni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ñ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os (s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í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ndrome de Reye).</w:t>
            </w:r>
          </w:p>
        </w:tc>
      </w:tr>
      <w:tr>
        <w:tblPrEx>
          <w:shd w:val="clear" w:color="auto" w:fill="auto"/>
        </w:tblPrEx>
        <w:trPr>
          <w:trHeight w:val="1207" w:hRule="atLeast"/>
        </w:trPr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93e3fd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1"/>
              <w:bidi w:val="0"/>
            </w:pPr>
            <w:r>
              <w:rPr>
                <w:rFonts w:ascii="Helvetica Neue" w:cs="Arial Unicode MS" w:hAnsi="Helvetica Neue" w:eastAsia="Arial Unicode MS"/>
              </w:rPr>
              <w:t xml:space="preserve">Ibuprofeno 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2"/>
              <w:bidi w:val="0"/>
            </w:pPr>
            <w:r>
              <w:rPr>
                <w:rFonts w:ascii="Helvetica Neue" w:cs="Arial Unicode MS" w:hAnsi="Helvetica Neue" w:eastAsia="Arial Unicode MS" w:hint="default"/>
              </w:rPr>
              <w:t>Á</w:t>
            </w:r>
            <w:r>
              <w:rPr>
                <w:rFonts w:ascii="Helvetica Neue" w:cs="Arial Unicode MS" w:hAnsi="Helvetica Neue" w:eastAsia="Arial Unicode MS"/>
              </w:rPr>
              <w:t>cido propionIco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2"/>
              <w:bidi w:val="0"/>
            </w:pPr>
            <w:r>
              <w:rPr>
                <w:rFonts w:ascii="Helvetica Neue" w:cs="Arial Unicode MS" w:hAnsi="Helvetica Neue" w:eastAsia="Arial Unicode MS"/>
              </w:rPr>
              <w:t xml:space="preserve">No selectivo 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2"/>
              <w:bidi w:val="0"/>
            </w:pPr>
            <w:r>
              <w:rPr>
                <w:rFonts w:ascii="Helvetica Neue" w:cs="Arial Unicode MS" w:hAnsi="Helvetica Neue" w:eastAsia="Arial Unicode MS"/>
              </w:rPr>
              <w:t>Dolor leve a moderado, inflamaci</w:t>
            </w:r>
            <w:r>
              <w:rPr>
                <w:rFonts w:ascii="Helvetica Neue" w:cs="Arial Unicode MS" w:hAnsi="Helvetica Neue" w:eastAsia="Arial Unicode MS" w:hint="default"/>
              </w:rPr>
              <w:t>ó</w:t>
            </w:r>
            <w:r>
              <w:rPr>
                <w:rFonts w:ascii="Helvetica Neue" w:cs="Arial Unicode MS" w:hAnsi="Helvetica Neue" w:eastAsia="Arial Unicode MS"/>
              </w:rPr>
              <w:t xml:space="preserve">n y fiebre 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200-400 mg cada 4-6 horas; dosis m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á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xima diaria de 1200-2400 mg (seg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ú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 indicaci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ó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 cl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í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nica)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Mejor tolerado en general; precauci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ó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 en insuficiencia renal.</w:t>
            </w:r>
          </w:p>
        </w:tc>
      </w:tr>
      <w:tr>
        <w:tblPrEx>
          <w:shd w:val="clear" w:color="auto" w:fill="auto"/>
        </w:tblPrEx>
        <w:trPr>
          <w:trHeight w:val="1207" w:hRule="atLeast"/>
        </w:trPr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93e3fd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1"/>
              <w:bidi w:val="0"/>
            </w:pPr>
            <w:r>
              <w:rPr>
                <w:rFonts w:ascii="Helvetica Neue" w:cs="Arial Unicode MS" w:hAnsi="Helvetica Neue" w:eastAsia="Arial Unicode MS"/>
              </w:rPr>
              <w:t>Naproxeno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20"/>
                <w:tab w:val="left" w:pos="40"/>
                <w:tab w:val="left" w:pos="60"/>
                <w:tab w:val="left" w:pos="80"/>
                <w:tab w:val="left" w:pos="100"/>
                <w:tab w:val="left" w:pos="120"/>
                <w:tab w:val="left" w:pos="140"/>
                <w:tab w:val="left" w:pos="160"/>
                <w:tab w:val="left" w:pos="180"/>
                <w:tab w:val="left" w:pos="200"/>
                <w:tab w:val="left" w:pos="220"/>
                <w:tab w:val="left" w:pos="240"/>
                <w:tab w:val="left" w:pos="260"/>
                <w:tab w:val="left" w:pos="280"/>
                <w:tab w:val="left" w:pos="300"/>
                <w:tab w:val="left" w:pos="320"/>
                <w:tab w:val="left" w:pos="340"/>
                <w:tab w:val="left" w:pos="360"/>
                <w:tab w:val="left" w:pos="380"/>
                <w:tab w:val="left" w:pos="400"/>
                <w:tab w:val="left" w:pos="420"/>
                <w:tab w:val="left" w:pos="440"/>
                <w:tab w:val="left" w:pos="460"/>
                <w:tab w:val="left" w:pos="480"/>
                <w:tab w:val="left" w:pos="500"/>
                <w:tab w:val="left" w:pos="520"/>
                <w:tab w:val="left" w:pos="540"/>
                <w:tab w:val="left" w:pos="560"/>
                <w:tab w:val="left" w:pos="580"/>
                <w:tab w:val="left" w:pos="600"/>
                <w:tab w:val="left" w:pos="620"/>
                <w:tab w:val="left" w:pos="640"/>
                <w:tab w:val="left" w:pos="660"/>
                <w:tab w:val="left" w:pos="680"/>
                <w:tab w:val="left" w:pos="700"/>
                <w:tab w:val="left" w:pos="720"/>
                <w:tab w:val="left" w:pos="740"/>
                <w:tab w:val="left" w:pos="760"/>
                <w:tab w:val="left" w:pos="780"/>
                <w:tab w:val="left" w:pos="800"/>
                <w:tab w:val="left" w:pos="820"/>
                <w:tab w:val="left" w:pos="840"/>
                <w:tab w:val="left" w:pos="860"/>
                <w:tab w:val="left" w:pos="880"/>
                <w:tab w:val="left" w:pos="900"/>
                <w:tab w:val="left" w:pos="920"/>
                <w:tab w:val="left" w:pos="940"/>
                <w:tab w:val="left" w:pos="960"/>
                <w:tab w:val="left" w:pos="980"/>
                <w:tab w:val="left" w:pos="1000"/>
                <w:tab w:val="left" w:pos="1020"/>
                <w:tab w:val="left" w:pos="1040"/>
                <w:tab w:val="left" w:pos="1060"/>
                <w:tab w:val="left" w:pos="1080"/>
                <w:tab w:val="left" w:pos="1100"/>
                <w:tab w:val="left" w:pos="1120"/>
                <w:tab w:val="left" w:pos="1140"/>
                <w:tab w:val="left" w:pos="1160"/>
                <w:tab w:val="left" w:pos="1180"/>
                <w:tab w:val="left" w:pos="1200"/>
                <w:tab w:val="left" w:pos="1220"/>
                <w:tab w:val="left" w:pos="1240"/>
                <w:tab w:val="left" w:pos="1260"/>
                <w:tab w:val="left" w:pos="1280"/>
              </w:tabs>
              <w:suppressAutoHyphens w:val="1"/>
              <w:bidi w:val="0"/>
              <w:ind w:left="0" w:right="0" w:firstLine="0"/>
              <w:jc w:val="left"/>
              <w:rPr>
                <w:rFonts w:ascii="Helvetica Neue" w:cs="Helvetica Neue" w:hAnsi="Helvetica Neue" w:eastAsia="Helvetica Neue"/>
                <w:outline w:val="0"/>
                <w:color w:val="000000"/>
                <w:rtl w:val="0"/>
                <w14:textFill>
                  <w14:solidFill>
                    <w14:srgbClr w14:val="000000"/>
                  </w14:solidFill>
                </w14:textFill>
              </w:rPr>
            </w:pPr>
          </w:p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Style w:val="Ninguno"/>
                <w:rFonts w:ascii="Helvetica" w:hAnsi="Helvetica" w:hint="default"/>
                <w:outline w:val="0"/>
                <w:color w:val="000000"/>
                <w:sz w:val="20"/>
                <w:szCs w:val="20"/>
                <w:rtl w:val="0"/>
                <w14:textFill>
                  <w14:solidFill>
                    <w14:srgbClr w14:val="000000"/>
                  </w14:solidFill>
                </w14:textFill>
              </w:rPr>
              <w:t>Á</w:t>
            </w:r>
            <w:r>
              <w:rPr>
                <w:rStyle w:val="Ninguno"/>
                <w:rFonts w:ascii="Helvetica" w:hAnsi="Helvetica"/>
                <w:outline w:val="0"/>
                <w:color w:val="000000"/>
                <w:sz w:val="20"/>
                <w:szCs w:val="20"/>
                <w:rtl w:val="0"/>
                <w:lang w:val="es-ES_tradnl"/>
                <w14:textFill>
                  <w14:solidFill>
                    <w14:srgbClr w14:val="000000"/>
                  </w14:solidFill>
                </w14:textFill>
              </w:rPr>
              <w:t>cido</w:t>
            </w:r>
            <w:r>
              <w:rPr>
                <w:rFonts w:ascii="Helvetica" w:hAnsi="Helvetica"/>
                <w:outline w:val="0"/>
                <w:color w:val="000000"/>
                <w:rtl w:val="0"/>
                <w:lang w:val="es-ES_tradnl"/>
                <w14:textFill>
                  <w14:solidFill>
                    <w14:srgbClr w14:val="000000"/>
                  </w14:solidFill>
                </w14:textFill>
              </w:rPr>
              <w:t xml:space="preserve"> propi</w:t>
            </w:r>
            <w:r>
              <w:rPr>
                <w:rFonts w:ascii="Helvetica" w:hAnsi="Helvetica" w:hint="default"/>
                <w:outline w:val="0"/>
                <w:color w:val="000000"/>
                <w:rtl w:val="0"/>
                <w14:textFill>
                  <w14:solidFill>
                    <w14:srgbClr w14:val="000000"/>
                  </w14:solidFill>
                </w14:textFill>
              </w:rPr>
              <w:t>ó</w:t>
            </w:r>
            <w:r>
              <w:rPr>
                <w:rFonts w:ascii="Helvetica" w:hAnsi="Helvetica"/>
                <w:outline w:val="0"/>
                <w:color w:val="000000"/>
                <w:rtl w:val="0"/>
                <w:lang w:val="it-IT"/>
                <w14:textFill>
                  <w14:solidFill>
                    <w14:srgbClr w14:val="000000"/>
                  </w14:solidFill>
                </w14:textFill>
              </w:rPr>
              <w:t>nico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2"/>
                <w:szCs w:val="22"/>
                <w14:textFill>
                  <w14:solidFill>
                    <w14:srgbClr w14:val="000000"/>
                  </w14:solidFill>
                </w14:textFill>
              </w:rPr>
              <w:t xml:space="preserve">No selectivo 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Artritis, dolor muscular, dismenorrea</w:t>
            </w:r>
          </w:p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250-500 mg cada 12 horas; dosis m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á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xima diaria alrededor de 1000 mg</w:t>
            </w:r>
          </w:p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Vida media prolongada, lo que permite dosificaci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ó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 cada 12 horas</w:t>
            </w:r>
          </w:p>
        </w:tc>
      </w:tr>
      <w:tr>
        <w:tblPrEx>
          <w:shd w:val="clear" w:color="auto" w:fill="auto"/>
        </w:tblPrEx>
        <w:trPr>
          <w:trHeight w:val="1207" w:hRule="atLeast"/>
        </w:trPr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93e3fd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1"/>
              <w:bidi w:val="0"/>
            </w:pPr>
            <w:r>
              <w:rPr>
                <w:rFonts w:ascii="Helvetica Neue" w:cs="Arial Unicode MS" w:hAnsi="Helvetica Neue" w:eastAsia="Arial Unicode MS"/>
              </w:rPr>
              <w:t>Diclofenaco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2"/>
              <w:bidi w:val="0"/>
            </w:pPr>
            <w:r>
              <w:rPr>
                <w:rFonts w:ascii="Helvetica Neue" w:cs="Arial Unicode MS" w:hAnsi="Helvetica Neue" w:eastAsia="Arial Unicode MS"/>
              </w:rPr>
              <w:t>Fenilacetico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2"/>
              <w:bidi w:val="0"/>
            </w:pPr>
            <w:r>
              <w:rPr>
                <w:rFonts w:ascii="Helvetica Neue" w:cs="Arial Unicode MS" w:hAnsi="Helvetica Neue" w:eastAsia="Arial Unicode MS"/>
              </w:rPr>
              <w:t>No selectivo (con cierto efecto COX-</w:t>
            </w:r>
            <w:r>
              <w:rPr>
                <w:rFonts w:ascii="Helvetica Neue" w:cs="Arial Unicode MS" w:hAnsi="Helvetica Neue" w:eastAsia="Arial Unicode MS" w:hint="default"/>
              </w:rPr>
              <w:t>“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Artritis reumatoide, osteoartritis, dolor postoperatorio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50-75 mg 2-3 veces al d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í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a (formulaciones de liberaci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ó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 inmediata o retardada seg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ú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 presentaci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ó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n)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Riesgo cardiovascular potencial; evaluar en pacientes con comorbilidades.</w:t>
            </w:r>
          </w:p>
        </w:tc>
      </w:tr>
      <w:tr>
        <w:tblPrEx>
          <w:shd w:val="clear" w:color="auto" w:fill="auto"/>
        </w:tblPrEx>
        <w:trPr>
          <w:trHeight w:val="1927" w:hRule="atLeast"/>
        </w:trPr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93e3fd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1"/>
              <w:bidi w:val="0"/>
            </w:pPr>
            <w:r>
              <w:rPr>
                <w:rFonts w:ascii="Helvetica Neue" w:cs="Arial Unicode MS" w:hAnsi="Helvetica Neue" w:eastAsia="Arial Unicode MS"/>
              </w:rPr>
              <w:t xml:space="preserve">Parcetamol 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Analg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é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sico y Antipir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é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tico (no AINE)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Fonts w:ascii="Helvetica" w:cs="Helvetica" w:hAnsi="Helvetica" w:eastAsia="Helvetica"/>
                <w:outline w:val="0"/>
                <w:color w:val="000000"/>
                <w:sz w:val="20"/>
                <w:szCs w:val="20"/>
                <w:rtl w:val="0"/>
                <w14:textFill>
                  <w14:solidFill>
                    <w14:srgbClr w14:val="000000"/>
                  </w14:solidFill>
                </w14:textFill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:rtl w:val="0"/>
                <w:lang w:val="es-ES_tradnl"/>
                <w14:textFill>
                  <w14:solidFill>
                    <w14:srgbClr w14:val="000000"/>
                  </w14:solidFill>
                </w14:textFill>
              </w:rPr>
              <w:t>M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:rtl w:val="0"/>
                <w14:textFill>
                  <w14:solidFill>
                    <w14:srgbClr w14:val="000000"/>
                  </w14:solidFill>
                </w14:textFill>
              </w:rPr>
              <w:t>ecanismo central: inhibici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:rtl w:val="0"/>
                <w14:textFill>
                  <w14:solidFill>
                    <w14:srgbClr w14:val="000000"/>
                  </w14:solidFill>
                </w14:textFill>
              </w:rPr>
              <w:t>ó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:rtl w:val="0"/>
                <w:lang w:val="fr-FR"/>
                <w14:textFill>
                  <w14:solidFill>
                    <w14:srgbClr w14:val="000000"/>
                  </w14:solidFill>
                </w14:textFill>
              </w:rPr>
              <w:t>n de la s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:rtl w:val="0"/>
                <w14:textFill>
                  <w14:solidFill>
                    <w14:srgbClr w14:val="000000"/>
                  </w14:solidFill>
                </w14:textFill>
              </w:rPr>
              <w:t>í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:rtl w:val="0"/>
                <w:lang w:val="es-ES_tradnl"/>
                <w14:textFill>
                  <w14:solidFill>
                    <w14:srgbClr w14:val="000000"/>
                  </w14:solidFill>
                </w14:textFill>
              </w:rPr>
              <w:t>ntesis de prostaglandinas en el SNC; sin acci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:rtl w:val="0"/>
                <w14:textFill>
                  <w14:solidFill>
                    <w14:srgbClr w14:val="000000"/>
                  </w14:solidFill>
                </w14:textFill>
              </w:rPr>
              <w:t>ó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:rtl w:val="0"/>
                <w14:textFill>
                  <w14:solidFill>
                    <w14:srgbClr w14:val="000000"/>
                  </w14:solidFill>
                </w14:textFill>
              </w:rPr>
              <w:t>n antiinflamatoria</w:t>
            </w:r>
          </w:p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:rtl w:val="0"/>
                <w:lang w:val="it-IT"/>
                <w14:textFill>
                  <w14:solidFill>
                    <w14:srgbClr w14:val="000000"/>
                  </w14:solidFill>
                </w14:textFill>
              </w:rPr>
              <w:t>significativa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2"/>
                <w:szCs w:val="22"/>
                <w14:textFill>
                  <w14:solidFill>
                    <w14:srgbClr w14:val="000000"/>
                  </w14:solidFill>
                </w14:textFill>
              </w:rPr>
              <w:t>Dolor leve a moderado (cefalea, dolor muscular, dental) y fiebre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2"/>
                <w:szCs w:val="22"/>
                <w14:textFill>
                  <w14:solidFill>
                    <w14:srgbClr w14:val="000000"/>
                  </w14:solidFill>
                </w14:textFill>
              </w:rPr>
              <w:t>500-1000 mg cada 4-6 horas; dosis m</w:t>
            </w:r>
            <w:r>
              <w:rPr>
                <w:rFonts w:ascii="Helvetica" w:hAnsi="Helvetica" w:hint="default"/>
                <w:outline w:val="0"/>
                <w:color w:val="000000"/>
                <w:sz w:val="22"/>
                <w:szCs w:val="22"/>
                <w14:textFill>
                  <w14:solidFill>
                    <w14:srgbClr w14:val="000000"/>
                  </w14:solidFill>
                </w14:textFill>
              </w:rPr>
              <w:t>á</w:t>
            </w:r>
            <w:r>
              <w:rPr>
                <w:rFonts w:ascii="Helvetica" w:hAnsi="Helvetica"/>
                <w:outline w:val="0"/>
                <w:color w:val="000000"/>
                <w:sz w:val="22"/>
                <w:szCs w:val="22"/>
                <w14:textFill>
                  <w14:solidFill>
                    <w14:srgbClr w14:val="000000"/>
                  </w14:solidFill>
                </w14:textFill>
              </w:rPr>
              <w:t>xima diaria de 3-4 g (ajustar en insuficiencia hep</w:t>
            </w:r>
            <w:r>
              <w:rPr>
                <w:rFonts w:ascii="Helvetica" w:hAnsi="Helvetica" w:hint="default"/>
                <w:outline w:val="0"/>
                <w:color w:val="000000"/>
                <w:sz w:val="22"/>
                <w:szCs w:val="22"/>
                <w14:textFill>
                  <w14:solidFill>
                    <w14:srgbClr w14:val="000000"/>
                  </w14:solidFill>
                </w14:textFill>
              </w:rPr>
              <w:t>á</w:t>
            </w:r>
            <w:r>
              <w:rPr>
                <w:rFonts w:ascii="Helvetica" w:hAnsi="Helvetica"/>
                <w:outline w:val="0"/>
                <w:color w:val="000000"/>
                <w:sz w:val="22"/>
                <w:szCs w:val="22"/>
                <w14:textFill>
                  <w14:solidFill>
                    <w14:srgbClr w14:val="000000"/>
                  </w14:solidFill>
                </w14:textFill>
              </w:rPr>
              <w:t>tica)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Muy bien tolerado a dosis terap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é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uticas; riesgo de hepatotoxicidad en sobredosis;</w:t>
            </w:r>
          </w:p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no posee actividad antiinflamatoria</w:t>
            </w:r>
          </w:p>
        </w:tc>
      </w:tr>
      <w:tr>
        <w:tblPrEx>
          <w:shd w:val="clear" w:color="auto" w:fill="auto"/>
        </w:tblPrEx>
        <w:trPr>
          <w:trHeight w:val="1927" w:hRule="atLeast"/>
        </w:trPr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93e3fd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1"/>
              <w:bidi w:val="0"/>
            </w:pPr>
            <w:r>
              <w:rPr>
                <w:rFonts w:ascii="Helvetica Neue" w:cs="Arial Unicode MS" w:hAnsi="Helvetica Neue" w:eastAsia="Arial Unicode MS"/>
              </w:rPr>
              <w:t>Ketoprofeno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</w:p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 w:hint="default"/>
                <w:outline w:val="0"/>
                <w:color w:val="000000"/>
                <w14:textFill>
                  <w14:solidFill>
                    <w14:srgbClr w14:val="000000"/>
                  </w14:solidFill>
                </w14:textFill>
              </w:rPr>
              <w:t>Á</w:t>
            </w:r>
            <w:r>
              <w:rPr>
                <w:rFonts w:ascii="Helvetica" w:hAnsi="Helvetica"/>
                <w:outline w:val="0"/>
                <w:color w:val="000000"/>
                <w14:textFill>
                  <w14:solidFill>
                    <w14:srgbClr w14:val="000000"/>
                  </w14:solidFill>
                </w14:textFill>
              </w:rPr>
              <w:t>cido Propi</w:t>
            </w:r>
            <w:r>
              <w:rPr>
                <w:rFonts w:ascii="Helvetica" w:hAnsi="Helvetica" w:hint="default"/>
                <w:outline w:val="0"/>
                <w:color w:val="000000"/>
                <w14:textFill>
                  <w14:solidFill>
                    <w14:srgbClr w14:val="000000"/>
                  </w14:solidFill>
                </w14:textFill>
              </w:rPr>
              <w:t>ó</w:t>
            </w:r>
            <w:r>
              <w:rPr>
                <w:rFonts w:ascii="Helvetica" w:hAnsi="Helvetica"/>
                <w:outline w:val="0"/>
                <w:color w:val="000000"/>
                <w14:textFill>
                  <w14:solidFill>
                    <w14:srgbClr w14:val="000000"/>
                  </w14:solidFill>
                </w14:textFill>
              </w:rPr>
              <w:t>nico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Inhibici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ó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 no selectiva de</w:t>
            </w:r>
          </w:p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COX-1 y COX-2, reduciendo la s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í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ntesis de prostaglandinas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Dolor leve a moderado, inflamaci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ó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n, artritis, tendinitis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50-100 mg cada 6-8 horas; dosis m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á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xima diaria entre</w:t>
            </w:r>
          </w:p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200-300 mg (seg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ú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 presentaci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ó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 y condici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ó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 cl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í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nica)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Efecto analg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é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sico, antipir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é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tico y antiinflamatorio; precauci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ó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 en pacientes con antecedentes gastrointestinales o renales</w:t>
            </w:r>
          </w:p>
        </w:tc>
      </w:tr>
      <w:tr>
        <w:tblPrEx>
          <w:shd w:val="clear" w:color="auto" w:fill="auto"/>
        </w:tblPrEx>
        <w:trPr>
          <w:trHeight w:val="727" w:hRule="atLeast"/>
        </w:trPr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93e3fd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1"/>
              <w:bidi w:val="0"/>
            </w:pPr>
            <w:r>
              <w:rPr>
                <w:rFonts w:ascii="Helvetica Neue" w:cs="Arial Unicode MS" w:hAnsi="Helvetica Neue" w:eastAsia="Arial Unicode MS"/>
              </w:rPr>
              <w:t>PiroXIcam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2"/>
              <w:bidi w:val="0"/>
            </w:pPr>
            <w:r>
              <w:rPr>
                <w:rFonts w:ascii="Helvetica Neue" w:cs="Arial Unicode MS" w:hAnsi="Helvetica Neue" w:eastAsia="Arial Unicode MS" w:hint="default"/>
              </w:rPr>
              <w:t>——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2"/>
              <w:bidi w:val="0"/>
            </w:pPr>
            <w:r>
              <w:rPr>
                <w:rFonts w:ascii="Helvetica Neue" w:cs="Arial Unicode MS" w:hAnsi="Helvetica Neue" w:eastAsia="Arial Unicode MS"/>
              </w:rPr>
              <w:t xml:space="preserve">No selectivo 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2"/>
                <w:szCs w:val="22"/>
                <w14:textFill>
                  <w14:solidFill>
                    <w14:srgbClr w14:val="000000"/>
                  </w14:solidFill>
                </w14:textFill>
              </w:rPr>
              <w:t>Artritis reumatoide, osteoartritis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2"/>
                <w:szCs w:val="22"/>
                <w14:textFill>
                  <w14:solidFill>
                    <w14:srgbClr w14:val="000000"/>
                  </w14:solidFill>
                </w14:textFill>
              </w:rPr>
              <w:t>20 mg una vez al d</w:t>
            </w:r>
            <w:r>
              <w:rPr>
                <w:rFonts w:ascii="Helvetica" w:hAnsi="Helvetica" w:hint="default"/>
                <w:outline w:val="0"/>
                <w:color w:val="000000"/>
                <w:sz w:val="22"/>
                <w:szCs w:val="22"/>
                <w14:textFill>
                  <w14:solidFill>
                    <w14:srgbClr w14:val="000000"/>
                  </w14:solidFill>
                </w14:textFill>
              </w:rPr>
              <w:t>í</w:t>
            </w:r>
            <w:r>
              <w:rPr>
                <w:rFonts w:ascii="Helvetica" w:hAnsi="Helvetica"/>
                <w:outline w:val="0"/>
                <w:color w:val="000000"/>
                <w:sz w:val="22"/>
                <w:szCs w:val="22"/>
                <w14:textFill>
                  <w14:solidFill>
                    <w14:srgbClr w14:val="000000"/>
                  </w14:solidFill>
                </w14:textFill>
              </w:rPr>
              <w:t>a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Larga duraci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ó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n; uso con precauci</w:t>
            </w:r>
            <w:r>
              <w:rPr>
                <w:rFonts w:ascii="Helvetica" w:hAnsi="Helvetica" w:hint="default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ó</w:t>
            </w:r>
            <w:r>
              <w:rPr>
                <w:rFonts w:ascii="Helvetica" w:hAnsi="Helvetica"/>
                <w:outline w:val="0"/>
                <w:color w:val="000000"/>
                <w:sz w:val="20"/>
                <w:szCs w:val="20"/>
                <w14:textFill>
                  <w14:solidFill>
                    <w14:srgbClr w14:val="000000"/>
                  </w14:solidFill>
                </w14:textFill>
              </w:rPr>
              <w:t>n en ancianos.</w:t>
            </w:r>
          </w:p>
        </w:tc>
      </w:tr>
      <w:tr>
        <w:tblPrEx>
          <w:shd w:val="clear" w:color="auto" w:fill="auto"/>
        </w:tblPrEx>
        <w:trPr>
          <w:trHeight w:val="1047" w:hRule="atLeast"/>
        </w:trPr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6" w:space="0" w:shadow="0" w:frame="0"/>
            </w:tcBorders>
            <w:shd w:val="clear" w:color="auto" w:fill="93e3fd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Estilo de tabla 1"/>
              <w:bidi w:val="0"/>
            </w:pPr>
            <w:r>
              <w:rPr>
                <w:rFonts w:ascii="Helvetica Neue" w:cs="Arial Unicode MS" w:hAnsi="Helvetica Neue" w:eastAsia="Arial Unicode MS"/>
              </w:rPr>
              <w:t>Celecoxib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6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20"/>
                <w:tab w:val="left" w:pos="40"/>
                <w:tab w:val="left" w:pos="60"/>
                <w:tab w:val="left" w:pos="80"/>
                <w:tab w:val="left" w:pos="100"/>
                <w:tab w:val="left" w:pos="120"/>
                <w:tab w:val="left" w:pos="140"/>
                <w:tab w:val="left" w:pos="160"/>
                <w:tab w:val="left" w:pos="180"/>
                <w:tab w:val="left" w:pos="200"/>
                <w:tab w:val="left" w:pos="220"/>
                <w:tab w:val="left" w:pos="240"/>
                <w:tab w:val="left" w:pos="260"/>
                <w:tab w:val="left" w:pos="280"/>
                <w:tab w:val="left" w:pos="300"/>
                <w:tab w:val="left" w:pos="320"/>
                <w:tab w:val="left" w:pos="340"/>
                <w:tab w:val="left" w:pos="360"/>
                <w:tab w:val="left" w:pos="380"/>
                <w:tab w:val="left" w:pos="400"/>
                <w:tab w:val="left" w:pos="420"/>
                <w:tab w:val="left" w:pos="440"/>
                <w:tab w:val="left" w:pos="460"/>
                <w:tab w:val="left" w:pos="480"/>
                <w:tab w:val="left" w:pos="500"/>
                <w:tab w:val="left" w:pos="520"/>
                <w:tab w:val="left" w:pos="540"/>
                <w:tab w:val="left" w:pos="560"/>
                <w:tab w:val="left" w:pos="580"/>
                <w:tab w:val="left" w:pos="600"/>
                <w:tab w:val="left" w:pos="620"/>
                <w:tab w:val="left" w:pos="640"/>
                <w:tab w:val="left" w:pos="660"/>
                <w:tab w:val="left" w:pos="680"/>
                <w:tab w:val="left" w:pos="700"/>
                <w:tab w:val="left" w:pos="720"/>
                <w:tab w:val="left" w:pos="740"/>
                <w:tab w:val="left" w:pos="760"/>
                <w:tab w:val="left" w:pos="780"/>
                <w:tab w:val="left" w:pos="800"/>
                <w:tab w:val="left" w:pos="820"/>
                <w:tab w:val="left" w:pos="840"/>
                <w:tab w:val="left" w:pos="860"/>
                <w:tab w:val="left" w:pos="880"/>
                <w:tab w:val="left" w:pos="900"/>
                <w:tab w:val="left" w:pos="920"/>
                <w:tab w:val="left" w:pos="940"/>
                <w:tab w:val="left" w:pos="960"/>
                <w:tab w:val="left" w:pos="980"/>
                <w:tab w:val="left" w:pos="1000"/>
                <w:tab w:val="left" w:pos="1020"/>
                <w:tab w:val="left" w:pos="1040"/>
                <w:tab w:val="left" w:pos="1060"/>
                <w:tab w:val="left" w:pos="1080"/>
                <w:tab w:val="left" w:pos="1100"/>
                <w:tab w:val="left" w:pos="1120"/>
                <w:tab w:val="left" w:pos="1140"/>
                <w:tab w:val="left" w:pos="1160"/>
                <w:tab w:val="left" w:pos="1180"/>
                <w:tab w:val="left" w:pos="1200"/>
                <w:tab w:val="left" w:pos="1220"/>
                <w:tab w:val="left" w:pos="1240"/>
                <w:tab w:val="left" w:pos="1260"/>
                <w:tab w:val="left" w:pos="128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 Neue" w:cs="Helvetica Neue" w:hAnsi="Helvetica Neue" w:eastAsia="Helvetica Neue"/>
                <w:outline w:val="0"/>
                <w:color w:val="000000"/>
                <w14:textFill>
                  <w14:solidFill>
                    <w14:srgbClr w14:val="000000"/>
                  </w14:solidFill>
                </w14:textFill>
              </w:rPr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rFonts w:ascii="Helvetica" w:hAnsi="Helvetica"/>
                <w:outline w:val="0"/>
                <w:color w:val="000000"/>
                <w14:textFill>
                  <w14:solidFill>
                    <w14:srgbClr w14:val="000000"/>
                  </w14:solidFill>
                </w14:textFill>
              </w:rPr>
              <w:t>Selectivo COX-2</w:t>
            </w:r>
          </w:p>
          <w:p>
            <w:pPr>
              <w:pStyle w:val="Predeterminado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bidi w:val="0"/>
              <w:ind w:left="0" w:right="0" w:firstLine="0"/>
              <w:jc w:val="left"/>
              <w:rPr>
                <w:rtl w:val="0"/>
              </w:rPr>
            </w:pP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0"/>
              <w:left w:type="dxa" w:w="0"/>
              <w:bottom w:type="dxa" w:w="0"/>
              <w:right w:type="dxa" w:w="0"/>
            </w:tcMar>
            <w:vAlign w:val="top"/>
          </w:tcPr>
          <w:p>
            <w:pPr>
              <w:pStyle w:val="Estilo de tabla 2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jc w:val="left"/>
            </w:pPr>
            <w:r>
              <w:rPr>
                <w:rFonts w:ascii="Helvetica" w:hAnsi="Helvetica"/>
              </w:rPr>
              <w:t>Artritis, dolor agudo, dismenorrea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0"/>
              <w:left w:type="dxa" w:w="0"/>
              <w:bottom w:type="dxa" w:w="0"/>
              <w:right w:type="dxa" w:w="0"/>
            </w:tcMar>
            <w:vAlign w:val="top"/>
          </w:tcPr>
          <w:p>
            <w:pPr>
              <w:pStyle w:val="Estilo de tabla 2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jc w:val="left"/>
            </w:pPr>
            <w:r>
              <w:rPr>
                <w:rFonts w:ascii="Helvetica" w:hAnsi="Helvetica"/>
              </w:rPr>
              <w:t>100-200 mg una o dos veces al d</w:t>
            </w:r>
            <w:r>
              <w:rPr>
                <w:rFonts w:ascii="Helvetica" w:hAnsi="Helvetica" w:hint="default"/>
              </w:rPr>
              <w:t>í</w:t>
            </w:r>
            <w:r>
              <w:rPr>
                <w:rFonts w:ascii="Helvetica" w:hAnsi="Helvetica"/>
              </w:rPr>
              <w:t>a; dosis m</w:t>
            </w:r>
            <w:r>
              <w:rPr>
                <w:rFonts w:ascii="Helvetica" w:hAnsi="Helvetica" w:hint="default"/>
              </w:rPr>
              <w:t>á</w:t>
            </w:r>
            <w:r>
              <w:rPr>
                <w:rFonts w:ascii="Helvetica" w:hAnsi="Helvetica"/>
              </w:rPr>
              <w:t>xima diaria generalmente de 400 mg</w:t>
            </w:r>
          </w:p>
        </w:tc>
        <w:tc>
          <w:tcPr>
            <w:tcW w:type="dxa" w:w="2158"/>
            <w:tcBorders>
              <w:top w:val="single" w:color="000000" w:sz="2" w:space="0" w:shadow="0" w:frame="0"/>
              <w:left w:val="single" w:color="000000" w:sz="2" w:space="0" w:shadow="0" w:frame="0"/>
              <w:bottom w:val="single" w:color="000000" w:sz="2" w:space="0" w:shadow="0" w:frame="0"/>
              <w:right w:val="single" w:color="000000" w:sz="2" w:space="0" w:shadow="0" w:frame="0"/>
            </w:tcBorders>
            <w:shd w:val="clear" w:color="auto" w:fill="fff994"/>
            <w:tcMar>
              <w:top w:type="dxa" w:w="0"/>
              <w:left w:type="dxa" w:w="0"/>
              <w:bottom w:type="dxa" w:w="0"/>
              <w:right w:type="dxa" w:w="0"/>
            </w:tcMar>
            <w:vAlign w:val="top"/>
          </w:tcPr>
          <w:p>
            <w:pPr>
              <w:pStyle w:val="Estilo de tabla 2"/>
              <w:tabs>
                <w:tab w:val="left" w:pos="560"/>
                <w:tab w:val="left" w:pos="1120"/>
                <w:tab w:val="left" w:pos="1680"/>
                <w:tab w:val="left" w:pos="2240"/>
                <w:tab w:val="left" w:pos="2800"/>
                <w:tab w:val="left" w:pos="3360"/>
                <w:tab w:val="left" w:pos="3920"/>
                <w:tab w:val="left" w:pos="4480"/>
                <w:tab w:val="left" w:pos="5040"/>
                <w:tab w:val="left" w:pos="5600"/>
                <w:tab w:val="left" w:pos="6160"/>
                <w:tab w:val="left" w:pos="6720"/>
              </w:tabs>
              <w:suppressAutoHyphens w:val="1"/>
              <w:jc w:val="left"/>
            </w:pPr>
            <w:r>
              <w:rPr>
                <w:rFonts w:ascii="Helvetica" w:hAnsi="Helvetica"/>
                <w:sz w:val="24"/>
                <w:szCs w:val="24"/>
              </w:rPr>
              <w:t>Menor riesgo de efectos GI; evaluar riesgo cardiovascular.</w:t>
            </w:r>
          </w:p>
        </w:tc>
      </w:tr>
    </w:tbl>
    <w:p>
      <w:pPr>
        <w:pStyle w:val="Predeterminado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suppressAutoHyphens w:val="1"/>
        <w:jc w:val="both"/>
      </w:pPr>
      <w:r>
        <w:rPr>
          <w:rStyle w:val="Ninguno"/>
          <w:rFonts w:ascii="Impact" w:hAnsi="Impact"/>
          <w:outline w:val="0"/>
          <w:color w:val="000000"/>
          <w:sz w:val="32"/>
          <w:szCs w:val="32"/>
          <w:rtl w:val="0"/>
          <w:lang w:val="es-ES_tradnl"/>
          <w14:textFill>
            <w14:solidFill>
              <w14:srgbClr w14:val="000000"/>
            </w14:solidFill>
          </w14:textFill>
        </w:rPr>
        <w:t>TABLA</w:t>
      </w:r>
      <w:r>
        <w:rPr>
          <w:rFonts w:ascii="Arial" w:hAnsi="Arial"/>
          <w:outline w:val="0"/>
          <w:color w:val="000000"/>
          <w:rtl w:val="0"/>
          <w:lang w:val="es-ES_tradnl"/>
          <w14:textFill>
            <w14:solidFill>
              <w14:srgbClr w14:val="000000"/>
            </w14:solidFill>
          </w14:textFill>
        </w:rPr>
        <w:t>:</w:t>
      </w:r>
    </w:p>
    <w:sectPr>
      <w:type w:val="continuous"/>
      <w:pgSz w:w="12240" w:h="15840" w:orient="portrait"/>
      <w:pgMar w:top="1417" w:right="1701" w:bottom="1417" w:left="1701" w:header="709" w:footer="709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Calibri">
    <w:charset w:val="00"/>
    <w:family w:val="roman"/>
    <w:pitch w:val="default"/>
  </w:font>
  <w:font w:name="Helvetica Neue">
    <w:charset w:val="00"/>
    <w:family w:val="roman"/>
    <w:pitch w:val="default"/>
  </w:font>
  <w:font w:name="Gill Sans MT">
    <w:charset w:val="00"/>
    <w:family w:val="roman"/>
    <w:pitch w:val="default"/>
  </w:font>
  <w:font w:name="Calibri Light">
    <w:charset w:val="00"/>
    <w:family w:val="roman"/>
    <w:pitch w:val="default"/>
  </w:font>
  <w:font w:name="Impact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"/>
      <w:bidi w:val="0"/>
      <w:ind w:left="0" w:right="0" w:firstLine="0"/>
      <w:jc w:val="right"/>
      <w:rPr>
        <w:caps w:val="1"/>
        <w:sz w:val="18"/>
        <w:szCs w:val="18"/>
        <w:rtl w:val="0"/>
      </w:rPr>
    </w:pPr>
    <w:r>
      <w:rPr>
        <w:caps w:val="1"/>
        <w:sz w:val="18"/>
        <w:szCs w:val="18"/>
      </w:rPr>
      <w:tab/>
    </w:r>
  </w:p>
  <w:p>
    <w:pPr>
      <w:pStyle w:val="footer"/>
      <w:bidi w:val="0"/>
      <w:ind w:left="0" w:right="0" w:firstLine="0"/>
      <w:jc w:val="right"/>
      <w:rPr>
        <w:rtl w:val="0"/>
      </w:rPr>
    </w:pPr>
    <w:r>
      <w:rPr>
        <w:rStyle w:val="Ninguno"/>
        <w:caps w:val="0"/>
        <w:smallCaps w:val="0"/>
        <w:outline w:val="0"/>
        <w:color w:val="000000"/>
        <w:sz w:val="22"/>
        <w:szCs w:val="22"/>
        <w:u w:color="000000"/>
        <w:shd w:val="nil" w:color="auto" w:fill="auto"/>
        <w:rtl w:val="0"/>
        <w:lang w:val="es-ES_tradnl"/>
        <w14:textFill>
          <w14:solidFill>
            <w14:srgbClr w14:val="000000"/>
          </w14:solidFill>
        </w14:textFill>
      </w:rPr>
      <w:t>Universidad del sureste</w:t>
      <w:tab/>
    </w:r>
    <w:r>
      <w:rPr>
        <w:rStyle w:val="Ninguno"/>
        <w:caps w:val="1"/>
        <w:outline w:val="0"/>
        <w:color w:val="808080"/>
        <w:sz w:val="18"/>
        <w:szCs w:val="18"/>
        <w:u w:color="808080"/>
        <w:shd w:val="nil" w:color="auto" w:fill="auto"/>
        <w:lang w:val="es-ES_tradnl"/>
        <w14:textFill>
          <w14:solidFill>
            <w14:srgbClr w14:val="808080"/>
          </w14:solidFill>
        </w14:textFill>
      </w:rPr>
      <w:fldChar w:fldCharType="begin" w:fldLock="0"/>
    </w:r>
    <w:r>
      <w:rPr>
        <w:rStyle w:val="Ninguno"/>
        <w:caps w:val="1"/>
        <w:outline w:val="0"/>
        <w:color w:val="808080"/>
        <w:sz w:val="18"/>
        <w:szCs w:val="18"/>
        <w:u w:color="808080"/>
        <w:shd w:val="nil" w:color="auto" w:fill="auto"/>
        <w:lang w:val="es-ES_tradnl"/>
        <w14:textFill>
          <w14:solidFill>
            <w14:srgbClr w14:val="808080"/>
          </w14:solidFill>
        </w14:textFill>
      </w:rPr>
      <w:instrText xml:space="preserve"> PAGE </w:instrText>
    </w:r>
    <w:r>
      <w:rPr>
        <w:rStyle w:val="Ninguno"/>
        <w:caps w:val="1"/>
        <w:outline w:val="0"/>
        <w:color w:val="808080"/>
        <w:sz w:val="18"/>
        <w:szCs w:val="18"/>
        <w:u w:color="808080"/>
        <w:shd w:val="nil" w:color="auto" w:fill="auto"/>
        <w:lang w:val="es-ES_tradnl"/>
        <w14:textFill>
          <w14:solidFill>
            <w14:srgbClr w14:val="808080"/>
          </w14:solidFill>
        </w14:textFill>
      </w:rPr>
      <w:fldChar w:fldCharType="separate" w:fldLock="0"/>
    </w:r>
    <w:r>
      <w:rPr>
        <w:rStyle w:val="Ninguno"/>
        <w:caps w:val="1"/>
        <w:outline w:val="0"/>
        <w:color w:val="808080"/>
        <w:sz w:val="18"/>
        <w:szCs w:val="18"/>
        <w:u w:color="808080"/>
        <w:shd w:val="nil" w:color="auto" w:fill="auto"/>
        <w:lang w:val="es-ES_tradnl"/>
        <w14:textFill>
          <w14:solidFill>
            <w14:srgbClr w14:val="808080"/>
          </w14:solidFill>
        </w14:textFill>
      </w:rPr>
    </w:r>
    <w:r>
      <w:rPr>
        <w:rStyle w:val="Ninguno"/>
        <w:caps w:val="1"/>
        <w:outline w:val="0"/>
        <w:color w:val="808080"/>
        <w:sz w:val="18"/>
        <w:szCs w:val="18"/>
        <w:u w:color="808080"/>
        <w:shd w:val="nil" w:color="auto" w:fill="auto"/>
        <w:lang w:val="es-ES_tradnl"/>
        <w14:textFill>
          <w14:solidFill>
            <w14:srgbClr w14:val="808080"/>
          </w14:solidFill>
        </w14:textFill>
      </w:rPr>
      <w:fldChar w:fldCharType="end" w:fldLock="0"/>
    </w:r>
    <w:r>
      <w:rPr>
        <w:rStyle w:val="Ninguno"/>
        <w:caps w:val="1"/>
        <w:outline w:val="0"/>
        <w:color w:val="808080"/>
        <w:sz w:val="18"/>
        <w:szCs w:val="18"/>
        <w:u w:color="808080"/>
        <w:shd w:val="nil" w:color="auto" w:fill="auto"/>
        <w:lang w:val="es-ES_tradnl"/>
        <w14:textFill>
          <w14:solidFill>
            <w14:srgbClr w14:val="808080"/>
          </w14:solidFill>
        </w14:textFill>
      </w:rPr>
    </w:r>
  </w:p>
</w:ftr>
</file>

<file path=word/footer2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Encabezado y pie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"/>
      <w:tabs>
        <w:tab w:val="right" w:pos="8818"/>
        <w:tab w:val="clear" w:pos="8838"/>
      </w:tabs>
    </w:pPr>
    <w:r>
      <w:drawing xmlns:a="http://schemas.openxmlformats.org/drawingml/2006/main"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7166609</wp:posOffset>
          </wp:positionH>
          <wp:positionV relativeFrom="page">
            <wp:posOffset>-285114</wp:posOffset>
          </wp:positionV>
          <wp:extent cx="285750" cy="883285"/>
          <wp:effectExtent l="0" t="0" r="0" b="0"/>
          <wp:wrapNone/>
          <wp:docPr id="1073741825" name="officeArt object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A picture containing drawingDescription automatically generated" descr="A picture containing drawing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 rot="16200000">
                    <a:off x="0" y="0"/>
                    <a:ext cx="285750" cy="88328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drawing xmlns:a="http://schemas.openxmlformats.org/drawingml/2006/main"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7465801</wp:posOffset>
          </wp:positionH>
          <wp:positionV relativeFrom="page">
            <wp:posOffset>12457</wp:posOffset>
          </wp:positionV>
          <wp:extent cx="285750" cy="883285"/>
          <wp:effectExtent l="0" t="0" r="0" b="0"/>
          <wp:wrapNone/>
          <wp:docPr id="1073741826" name="officeArt object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A picture containing drawingDescription automatically generated" descr="A picture containing drawing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 rot="10800000">
                    <a:off x="0" y="0"/>
                    <a:ext cx="285750" cy="88328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drawing xmlns:a="http://schemas.openxmlformats.org/drawingml/2006/main">
        <wp:anchor distT="152400" distB="152400" distL="152400" distR="152400" simplePos="0" relativeHeight="251660288" behindDoc="1" locked="0" layoutInCell="1" allowOverlap="1">
          <wp:simplePos x="0" y="0"/>
          <wp:positionH relativeFrom="page">
            <wp:posOffset>6532244</wp:posOffset>
          </wp:positionH>
          <wp:positionV relativeFrom="page">
            <wp:posOffset>290195</wp:posOffset>
          </wp:positionV>
          <wp:extent cx="931545" cy="424816"/>
          <wp:effectExtent l="0" t="0" r="0" b="0"/>
          <wp:wrapNone/>
          <wp:docPr id="1073741827" name="officeArt object" descr="A picture containing drawing, plate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7" name="A picture containing drawing, plateDescription automatically generated" descr="A picture containing drawing, plateDescription automatically generated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1545" cy="424816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/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Encabezado y pie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Viñetas"/>
  </w:abstractNum>
  <w:abstractNum w:abstractNumId="1">
    <w:multiLevelType w:val="hybridMultilevel"/>
    <w:styleLink w:val="Viñetas"/>
    <w:lvl w:ilvl="0">
      <w:start w:val="1"/>
      <w:numFmt w:val="bullet"/>
      <w:suff w:val="tab"/>
      <w:lvlText w:val="•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ind w:left="90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•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ind w:left="150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•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ind w:left="210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•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ind w:left="270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•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ind w:left="330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•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ind w:left="390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•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ind w:left="450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•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ind w:left="510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•"/>
      <w:lvlJc w:val="left"/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7280"/>
          <w:tab w:val="left" w:pos="7840"/>
          <w:tab w:val="left" w:pos="8400"/>
        </w:tabs>
        <w:ind w:left="570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español" w:val="‘“(〔[{〈《「『【⦅〘〖«〝︵︷︹︻︽︿﹁﹃﹇﹙﹛﹝｢"/>
  <w:noLineBreaksBefore w:lang="español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">
    <w:name w:val="header"/>
    <w:next w:val="header"/>
    <w:pPr>
      <w:keepNext w:val="0"/>
      <w:keepLines w:val="0"/>
      <w:pageBreakBefore w:val="0"/>
      <w:widowControl w:val="1"/>
      <w:shd w:val="clear" w:color="auto" w:fill="auto"/>
      <w:tabs>
        <w:tab w:val="center" w:pos="4419"/>
        <w:tab w:val="right" w:pos="8838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s-ES_tradnl"/>
      <w14:textFill>
        <w14:solidFill>
          <w14:srgbClr w14:val="000000"/>
        </w14:solidFill>
      </w14:textFill>
    </w:rPr>
  </w:style>
  <w:style w:type="paragraph" w:styleId="footer">
    <w:name w:val="footer"/>
    <w:next w:val="footer"/>
    <w:pPr>
      <w:keepNext w:val="0"/>
      <w:keepLines w:val="0"/>
      <w:pageBreakBefore w:val="0"/>
      <w:widowControl w:val="1"/>
      <w:shd w:val="clear" w:color="auto" w:fill="auto"/>
      <w:tabs>
        <w:tab w:val="center" w:pos="4419"/>
        <w:tab w:val="right" w:pos="8838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Calibri" w:cs="Arial Unicode MS" w:hAnsi="Calibri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s-ES_tradnl"/>
      <w14:textFill>
        <w14:solidFill>
          <w14:srgbClr w14:val="000000"/>
        </w14:solidFill>
      </w14:textFill>
    </w:rPr>
  </w:style>
  <w:style w:type="character" w:styleId="Ninguno">
    <w:name w:val="Ninguno"/>
    <w:rPr>
      <w:lang w:val="es-ES_tradnl"/>
    </w:rPr>
  </w:style>
  <w:style w:type="paragraph" w:styleId="Encabezado y pie">
    <w:name w:val="Encabezado y pie"/>
    <w:next w:val="Encabezado y pie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Cuerpo">
    <w:name w:val="Cuerpo"/>
    <w:next w:val="Cuerpo"/>
    <w:pPr>
      <w:keepNext w:val="0"/>
      <w:keepLines w:val="0"/>
      <w:pageBreakBefore w:val="0"/>
      <w:widowControl w:val="1"/>
      <w:shd w:val="clear" w:color="auto" w:fill="auto"/>
      <w:tabs>
        <w:tab w:val="left" w:pos="3220"/>
      </w:tabs>
      <w:suppressAutoHyphens w:val="0"/>
      <w:bidi w:val="0"/>
      <w:spacing w:before="0" w:after="160" w:line="360" w:lineRule="auto"/>
      <w:ind w:left="0" w:right="0" w:firstLine="0"/>
      <w:jc w:val="right"/>
      <w:outlineLvl w:val="9"/>
    </w:pPr>
    <w:rPr>
      <w:rFonts w:ascii="Gill Sans MT" w:cs="Gill Sans MT" w:hAnsi="Gill Sans MT" w:eastAsia="Gill Sans MT"/>
      <w:b w:val="1"/>
      <w:bCs w:val="1"/>
      <w:i w:val="0"/>
      <w:iCs w:val="0"/>
      <w:caps w:val="0"/>
      <w:smallCaps w:val="0"/>
      <w:strike w:val="0"/>
      <w:dstrike w:val="0"/>
      <w:outline w:val="0"/>
      <w:color w:val="1f4e79"/>
      <w:spacing w:val="0"/>
      <w:kern w:val="0"/>
      <w:position w:val="0"/>
      <w:sz w:val="36"/>
      <w:szCs w:val="36"/>
      <w:u w:val="none" w:color="1f4e79"/>
      <w:shd w:val="nil" w:color="auto" w:fill="auto"/>
      <w:vertAlign w:val="baseline"/>
      <w14:textOutline>
        <w14:noFill/>
      </w14:textOutline>
      <w14:textFill>
        <w14:solidFill>
          <w14:srgbClr w14:val="1F4E79"/>
        </w14:solidFill>
      </w14:textFill>
    </w:rPr>
  </w:style>
  <w:style w:type="paragraph" w:styleId="Nota al pie">
    <w:name w:val="Nota al pie"/>
    <w:next w:val="Nota al pie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Gill Sans MT" w:cs="Gill Sans MT" w:hAnsi="Gill Sans MT" w:eastAsia="Gill Sans MT"/>
      <w:b w:val="1"/>
      <w:bCs w:val="1"/>
      <w:i w:val="0"/>
      <w:iCs w:val="0"/>
      <w:caps w:val="0"/>
      <w:smallCaps w:val="0"/>
      <w:strike w:val="0"/>
      <w:dstrike w:val="0"/>
      <w:outline w:val="0"/>
      <w:color w:val="1f4e79"/>
      <w:spacing w:val="0"/>
      <w:kern w:val="0"/>
      <w:position w:val="0"/>
      <w:sz w:val="24"/>
      <w:szCs w:val="24"/>
      <w:u w:val="none" w:color="1f4e79"/>
      <w:shd w:val="nil" w:color="auto" w:fill="auto"/>
      <w:vertAlign w:val="baseline"/>
      <w14:textOutline>
        <w14:noFill/>
      </w14:textOutline>
      <w14:textFill>
        <w14:solidFill>
          <w14:srgbClr w14:val="1F4E79"/>
        </w14:solidFill>
      </w14:textFill>
    </w:rPr>
  </w:style>
  <w:style w:type="paragraph" w:styleId="heading 6">
    <w:name w:val="heading 6"/>
    <w:next w:val="Cuerpo"/>
    <w:pPr>
      <w:keepNext w:val="1"/>
      <w:keepLines w:val="1"/>
      <w:pageBreakBefore w:val="0"/>
      <w:widowControl w:val="1"/>
      <w:shd w:val="clear" w:color="auto" w:fill="auto"/>
      <w:suppressAutoHyphens w:val="0"/>
      <w:bidi w:val="0"/>
      <w:spacing w:before="200" w:after="0" w:line="259" w:lineRule="auto"/>
      <w:ind w:left="0" w:right="0" w:firstLine="0"/>
      <w:jc w:val="left"/>
      <w:outlineLvl w:val="2"/>
    </w:pPr>
    <w:rPr>
      <w:rFonts w:ascii="Calibri Light" w:cs="Arial Unicode MS" w:hAnsi="Calibri Light" w:eastAsia="Arial Unicode MS"/>
      <w:b w:val="0"/>
      <w:bCs w:val="0"/>
      <w:i w:val="1"/>
      <w:iCs w:val="1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32"/>
      <w:szCs w:val="32"/>
      <w:u w:val="none" w:color="1f4d78"/>
      <w:shd w:val="nil" w:color="auto" w:fill="auto"/>
      <w:vertAlign w:val="baseline"/>
      <w:lang w:val="es-ES_tradnl"/>
      <w14:textFill>
        <w14:solidFill>
          <w14:srgbClr w14:val="000000"/>
        </w14:solidFill>
      </w14:textFill>
    </w:rPr>
  </w:style>
  <w:style w:type="paragraph" w:styleId="Predeterminado">
    <w:name w:val="Predeterminado"/>
    <w:next w:val="Predeterminad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Gill Sans MT" w:cs="Gill Sans MT" w:hAnsi="Gill Sans MT" w:eastAsia="Gill Sans MT"/>
      <w:b w:val="0"/>
      <w:bCs w:val="0"/>
      <w:i w:val="0"/>
      <w:iCs w:val="0"/>
      <w:caps w:val="0"/>
      <w:smallCaps w:val="0"/>
      <w:strike w:val="0"/>
      <w:dstrike w:val="0"/>
      <w:outline w:val="0"/>
      <w:color w:val="1f4e79"/>
      <w:spacing w:val="0"/>
      <w:kern w:val="0"/>
      <w:position w:val="0"/>
      <w:sz w:val="24"/>
      <w:szCs w:val="24"/>
      <w:u w:val="none" w:color="1f4e79"/>
      <w:shd w:val="nil" w:color="auto" w:fill="auto"/>
      <w:vertAlign w:val="baseline"/>
      <w:lang w:val="pt-PT"/>
      <w14:textOutline>
        <w14:noFill/>
      </w14:textOutline>
      <w14:textFill>
        <w14:solidFill>
          <w14:srgbClr w14:val="1F4E79"/>
        </w14:solidFill>
      </w14:textFill>
    </w:rPr>
  </w:style>
  <w:style w:type="numbering" w:styleId="Viñetas">
    <w:name w:val="Viñetas"/>
    <w:pPr>
      <w:numPr>
        <w:numId w:val="1"/>
      </w:numPr>
    </w:pPr>
  </w:style>
  <w:style w:type="paragraph" w:styleId="Estilo de tabla 1">
    <w:name w:val="Estilo de tabla 1"/>
    <w:next w:val="Estilo de tabla 1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1"/>
      <w:bCs w:val="1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Estilo de tabla 2">
    <w:name w:val="Estilo de tabla 2"/>
    <w:next w:val="Estilo de tabla 2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0"/>
      <w:szCs w:val="20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header" Target="header1.xml"/><Relationship Id="rId6" Type="http://schemas.openxmlformats.org/officeDocument/2006/relationships/header" Target="header2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numbering" Target="numbering.xml"/><Relationship Id="rId10" Type="http://schemas.openxmlformats.org/officeDocument/2006/relationships/theme" Target="theme/theme1.xml"/></Relationships>
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</Relationships>

</file>

<file path=word/theme/theme1.xml><?xml version="1.0" encoding="utf-8"?>
<a:theme xmlns:a="http://schemas.openxmlformats.org/drawingml/2006/main" xmlns:r="http://schemas.openxmlformats.org/officeDocument/2006/relationships" name="Tema de Office">
  <a:themeElements>
    <a:clrScheme name="Tema de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e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e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