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5023" w14:textId="1F2F0057" w:rsidR="00D47D1E" w:rsidRPr="00D47D1E" w:rsidRDefault="00D47D1E" w:rsidP="00A52048">
      <w:pPr>
        <w:pStyle w:val="NormalWeb"/>
        <w:spacing w:after="0" w:afterAutospacing="0"/>
        <w:rPr>
          <w:rFonts w:ascii="Arial" w:hAnsi="Arial" w:cs="Arial"/>
          <w:b/>
          <w:bCs/>
        </w:rPr>
      </w:pPr>
      <w:r w:rsidRPr="00D47D1E">
        <w:rPr>
          <w:rFonts w:ascii="Arial" w:hAnsi="Arial" w:cs="Arial"/>
          <w:b/>
          <w:bCs/>
        </w:rPr>
        <w:t>HIPOTIROIDISMO</w:t>
      </w:r>
    </w:p>
    <w:p w14:paraId="41E64295" w14:textId="66722BF5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Definición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Hipotiroidismo</w:t>
      </w:r>
      <w:r w:rsidRPr="0081154F">
        <w:rPr>
          <w:rFonts w:ascii="Arial" w:hAnsi="Arial" w:cs="Arial"/>
        </w:rPr>
        <w:t>: Enfermedad endocrina común causada por la disminución en la síntesis y secreción de hormonas tiroideas.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Clasificación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</w:t>
      </w:r>
      <w:r w:rsidRPr="0081154F">
        <w:rPr>
          <w:rStyle w:val="Textoennegrita"/>
          <w:rFonts w:ascii="Arial" w:hAnsi="Arial" w:cs="Arial"/>
        </w:rPr>
        <w:t>Primario</w:t>
      </w:r>
      <w:r w:rsidRPr="0081154F">
        <w:rPr>
          <w:rFonts w:ascii="Arial" w:hAnsi="Arial" w:cs="Arial"/>
        </w:rPr>
        <w:t xml:space="preserve"> (99% de casos): fallo en la glándula tiroides.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• Clínico: TSH elevada (usualmente &gt;10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/L) y T4 libre baja.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• Subclínico: TSH elevada (por encima de 4.5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 xml:space="preserve">/L) con T4 libre normal; se clasifica en leve (TSH entre 4.5 y 10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 xml:space="preserve">/L) y severo (TSH &gt;10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</w:t>
      </w:r>
      <w:r w:rsidRPr="0081154F">
        <w:rPr>
          <w:rStyle w:val="Textoennegrita"/>
          <w:rFonts w:ascii="Arial" w:hAnsi="Arial" w:cs="Arial"/>
        </w:rPr>
        <w:t>Secundario</w:t>
      </w:r>
      <w:r w:rsidRPr="0081154F">
        <w:rPr>
          <w:rFonts w:ascii="Arial" w:hAnsi="Arial" w:cs="Arial"/>
        </w:rPr>
        <w:t>: Se origina por deficiencia de TSH (alteraciones hipotalámicas o hipofisarias).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</w:t>
      </w:r>
      <w:r w:rsidRPr="0081154F">
        <w:rPr>
          <w:rStyle w:val="Textoennegrita"/>
          <w:rFonts w:ascii="Arial" w:hAnsi="Arial" w:cs="Arial"/>
        </w:rPr>
        <w:t>Embarazo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• Clínico: TSH &gt;10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 (independientemente de T4L).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• Subclínico: TSH &gt;2.5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 con T4L normal.</w:t>
      </w:r>
    </w:p>
    <w:p w14:paraId="39951B02" w14:textId="77777777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Epidemiología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>• Prevalencia mundial del hipotiroidismo primario: 0.1% a 2%; es 10 veces más frecuente en mujeres que en hombres.</w:t>
      </w:r>
      <w:r w:rsidRPr="0081154F">
        <w:rPr>
          <w:rFonts w:ascii="Arial" w:hAnsi="Arial" w:cs="Arial"/>
        </w:rPr>
        <w:br/>
        <w:t>• En mayores de 60 años, la prevalencia puede aumentar al 7–10%.</w:t>
      </w:r>
      <w:r w:rsidRPr="0081154F">
        <w:rPr>
          <w:rFonts w:ascii="Arial" w:hAnsi="Arial" w:cs="Arial"/>
        </w:rPr>
        <w:br/>
        <w:t>• Hipotiroidismo subclínico: incidencia mundial de 3 a 9%, alcanzando hasta el 10% en mujeres mayores de 55 años y 20% en mayores de 65 años.</w:t>
      </w:r>
      <w:r w:rsidRPr="0081154F">
        <w:rPr>
          <w:rFonts w:ascii="Arial" w:hAnsi="Arial" w:cs="Arial"/>
        </w:rPr>
        <w:br/>
        <w:t>• En México se estima el 1% para hipotiroidismo primario y de 3 a 8% para hipotiroidismo subclínico.</w:t>
      </w:r>
      <w:r w:rsidRPr="0081154F">
        <w:rPr>
          <w:rFonts w:ascii="Arial" w:hAnsi="Arial" w:cs="Arial"/>
        </w:rPr>
        <w:br/>
        <w:t>• En mujeres embarazadas: prevalencias reportadas de 0.2–0.5% para hipotiroidismo clínico y 2–2.5% para hipotiroidismo subclínico.</w:t>
      </w:r>
    </w:p>
    <w:p w14:paraId="2839DD24" w14:textId="77777777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lastRenderedPageBreak/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Valores Hormonales y Diagnóstico de Laboratorio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Valores normales de TSH en población general</w:t>
      </w:r>
      <w:r w:rsidRPr="0081154F">
        <w:rPr>
          <w:rFonts w:ascii="Arial" w:hAnsi="Arial" w:cs="Arial"/>
        </w:rPr>
        <w:t xml:space="preserve">: 0.45–4.5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/L.</w:t>
      </w:r>
      <w:r w:rsidRPr="0081154F">
        <w:rPr>
          <w:rFonts w:ascii="Arial" w:hAnsi="Arial" w:cs="Arial"/>
        </w:rPr>
        <w:br/>
        <w:t>• En adultos mayores se sugieren límites de normalidad mayores: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5.9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 en sujetos de 70 a 79 años.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7.5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 en mayores de 80 años.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Diagnóstico bioquímico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</w:t>
      </w:r>
      <w:r w:rsidRPr="0081154F">
        <w:rPr>
          <w:rStyle w:val="Textoennegrita"/>
          <w:rFonts w:ascii="Arial" w:hAnsi="Arial" w:cs="Arial"/>
        </w:rPr>
        <w:t>Hipotiroidismo primario</w:t>
      </w:r>
      <w:r w:rsidRPr="0081154F">
        <w:rPr>
          <w:rFonts w:ascii="Arial" w:hAnsi="Arial" w:cs="Arial"/>
        </w:rPr>
        <w:t>: TSH elevada + T4 libre baja.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</w:t>
      </w:r>
      <w:r w:rsidRPr="0081154F">
        <w:rPr>
          <w:rStyle w:val="Textoennegrita"/>
          <w:rFonts w:ascii="Arial" w:hAnsi="Arial" w:cs="Arial"/>
        </w:rPr>
        <w:t>Hipotiroidismo subclínico</w:t>
      </w:r>
      <w:r w:rsidRPr="0081154F">
        <w:rPr>
          <w:rFonts w:ascii="Arial" w:hAnsi="Arial" w:cs="Arial"/>
        </w:rPr>
        <w:t>: TSH elevada con T4 libre normal.</w:t>
      </w:r>
      <w:r w:rsidRPr="0081154F">
        <w:rPr>
          <w:rFonts w:ascii="Arial" w:hAnsi="Arial" w:cs="Arial"/>
        </w:rPr>
        <w:br/>
        <w:t>• En el embarazo, se utiliza además la clasificación específica: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Clínico: TSH &gt;10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Subclínico: TSH &gt;2.5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 con T4L normal.</w:t>
      </w:r>
    </w:p>
    <w:p w14:paraId="4EE57782" w14:textId="77777777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Clínica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Síntomas comunes</w:t>
      </w:r>
      <w:r w:rsidRPr="0081154F">
        <w:rPr>
          <w:rFonts w:ascii="Arial" w:hAnsi="Arial" w:cs="Arial"/>
        </w:rPr>
        <w:t xml:space="preserve"> (frecuentes y de baja especificidad):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Intolerancia al frío.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Voz ronca.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Constipación.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Alteración en la memoria.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Piel seca.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Aumento de peso moderado (no obesidad mórbida).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Movimiento y lenguaje lentos, bradicardia, retardo en la relajación de reflejos.</w:t>
      </w:r>
      <w:r w:rsidRPr="0081154F">
        <w:rPr>
          <w:rFonts w:ascii="Arial" w:hAnsi="Arial" w:cs="Arial"/>
        </w:rPr>
        <w:br/>
        <w:t>• Otros signos que pueden apreciarse: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Edema facial y </w:t>
      </w:r>
      <w:proofErr w:type="spellStart"/>
      <w:r w:rsidRPr="0081154F">
        <w:rPr>
          <w:rFonts w:ascii="Arial" w:hAnsi="Arial" w:cs="Arial"/>
        </w:rPr>
        <w:t>pretibial</w:t>
      </w:r>
      <w:proofErr w:type="spellEnd"/>
      <w:r w:rsidRPr="0081154F">
        <w:rPr>
          <w:rFonts w:ascii="Arial" w:hAnsi="Arial" w:cs="Arial"/>
        </w:rPr>
        <w:t>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Cabello y piel gruesa, facies abotagada, </w:t>
      </w:r>
      <w:proofErr w:type="spellStart"/>
      <w:r w:rsidRPr="0081154F">
        <w:rPr>
          <w:rFonts w:ascii="Arial" w:hAnsi="Arial" w:cs="Arial"/>
        </w:rPr>
        <w:t>macroglosia</w:t>
      </w:r>
      <w:proofErr w:type="spellEnd"/>
      <w:r w:rsidRPr="0081154F">
        <w:rPr>
          <w:rFonts w:ascii="Arial" w:hAnsi="Arial" w:cs="Arial"/>
        </w:rPr>
        <w:t>.</w:t>
      </w:r>
    </w:p>
    <w:p w14:paraId="5426905D" w14:textId="77777777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Diagnóstico Clínico y Complementario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Evaluación clínica</w:t>
      </w:r>
      <w:r w:rsidRPr="0081154F">
        <w:rPr>
          <w:rFonts w:ascii="Arial" w:hAnsi="Arial" w:cs="Arial"/>
        </w:rPr>
        <w:t xml:space="preserve">: Historia y examen físico enfocados en </w:t>
      </w:r>
      <w:r w:rsidRPr="0081154F">
        <w:rPr>
          <w:rFonts w:ascii="Arial" w:hAnsi="Arial" w:cs="Arial"/>
        </w:rPr>
        <w:lastRenderedPageBreak/>
        <w:t>antecedentes (radioterapia, cirugía tiroidea, consumo de ciertos fármacos) y signos sugestivos.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Estudios de laboratorio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Cuantificación de TSH y T4 libre es la herramienta diagnóstica de elección.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Se recomienda la realización de pruebas en poblaciones de riesgo (antecedentes familiares, presencia de otras enfermedades autoinmunes, etc.).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Exámenes de imagen</w:t>
      </w:r>
      <w:r w:rsidRPr="0081154F">
        <w:rPr>
          <w:rFonts w:ascii="Arial" w:hAnsi="Arial" w:cs="Arial"/>
        </w:rPr>
        <w:t xml:space="preserve">: No se recomiendan de manera rutinaria; el ultrasonido sólo debe considerarse ante hallazgos </w:t>
      </w:r>
      <w:proofErr w:type="spellStart"/>
      <w:r w:rsidRPr="0081154F">
        <w:rPr>
          <w:rFonts w:ascii="Arial" w:hAnsi="Arial" w:cs="Arial"/>
        </w:rPr>
        <w:t>palpatorios</w:t>
      </w:r>
      <w:proofErr w:type="spellEnd"/>
      <w:r w:rsidRPr="0081154F">
        <w:rPr>
          <w:rFonts w:ascii="Arial" w:hAnsi="Arial" w:cs="Arial"/>
        </w:rPr>
        <w:t xml:space="preserve"> (nódulo o bocio).</w:t>
      </w:r>
    </w:p>
    <w:p w14:paraId="667D2D54" w14:textId="77777777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Tratamiento y Dosis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Tratamiento de elección</w:t>
      </w:r>
      <w:r w:rsidRPr="0081154F">
        <w:rPr>
          <w:rFonts w:ascii="Arial" w:hAnsi="Arial" w:cs="Arial"/>
        </w:rPr>
        <w:t xml:space="preserve">: </w:t>
      </w:r>
      <w:proofErr w:type="spellStart"/>
      <w:r w:rsidRPr="0081154F">
        <w:rPr>
          <w:rFonts w:ascii="Arial" w:hAnsi="Arial" w:cs="Arial"/>
        </w:rPr>
        <w:t>Levotiroxina</w:t>
      </w:r>
      <w:proofErr w:type="spellEnd"/>
      <w:r w:rsidRPr="0081154F">
        <w:rPr>
          <w:rFonts w:ascii="Arial" w:hAnsi="Arial" w:cs="Arial"/>
        </w:rPr>
        <w:t xml:space="preserve"> (monoterapia).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Objetivos del tratamiento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Revertir la sintomatología del hipotiroidismo.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Normalizar niveles de TSH y concentraciones de hormonas tiroideas.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Evitar </w:t>
      </w:r>
      <w:proofErr w:type="spellStart"/>
      <w:r w:rsidRPr="0081154F">
        <w:rPr>
          <w:rFonts w:ascii="Arial" w:hAnsi="Arial" w:cs="Arial"/>
        </w:rPr>
        <w:t>sobretratamiento</w:t>
      </w:r>
      <w:proofErr w:type="spellEnd"/>
      <w:r w:rsidRPr="0081154F">
        <w:rPr>
          <w:rFonts w:ascii="Arial" w:hAnsi="Arial" w:cs="Arial"/>
        </w:rPr>
        <w:t xml:space="preserve"> (riesgos de fibrilación auricular, osteoporosis, etc.).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Dosis inicial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En adultos sin comorbilidad cardiovascular: 1.6–1.8 µg/kg/día, calculada sobre el peso actual.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En pacientes mayores o con enfermedad cardiaca: iniciar con dosis bajas (12.5–25 µg/día) y aumentar gradualmente, según respuesta y niveles de TSH.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En el embarazo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La dosis inicial recomendada es de 1.2 µg/kg/día.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Se recomienda aumentar la dosis en un 25–30% al confirmarse el embarazo.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Objetivos terapéuticos específicos según trimestre: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• Primer trimestre: TSH 0.1–2.5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• Segundo trimestre: TSH 0.2–3.0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• Tercer trimestre: TSH 0.3–3.0 </w:t>
      </w:r>
      <w:proofErr w:type="spellStart"/>
      <w:r w:rsidRPr="0081154F">
        <w:rPr>
          <w:rFonts w:ascii="Arial" w:hAnsi="Arial" w:cs="Arial"/>
        </w:rPr>
        <w:t>mUI</w:t>
      </w:r>
      <w:proofErr w:type="spellEnd"/>
      <w:r w:rsidRPr="0081154F">
        <w:rPr>
          <w:rFonts w:ascii="Arial" w:hAnsi="Arial" w:cs="Arial"/>
        </w:rPr>
        <w:t>/L.</w:t>
      </w:r>
    </w:p>
    <w:p w14:paraId="6B40DEC8" w14:textId="77777777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lastRenderedPageBreak/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Factores de Riesgo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 xml:space="preserve">• </w:t>
      </w:r>
      <w:r w:rsidRPr="0081154F">
        <w:rPr>
          <w:rStyle w:val="Textoennegrita"/>
          <w:rFonts w:ascii="Arial" w:hAnsi="Arial" w:cs="Arial"/>
        </w:rPr>
        <w:t>Poblaciones y antecedentes</w:t>
      </w:r>
      <w:r w:rsidRPr="0081154F">
        <w:rPr>
          <w:rFonts w:ascii="Arial" w:hAnsi="Arial" w:cs="Arial"/>
        </w:rPr>
        <w:t>: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Mujeres (es 10 veces más frecuente que en hombres).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Antecedentes personales o familiares de enfermedad tiroidea autoinmune.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Presencia de otras enfermedades autoinmunes (diabetes mellitus tipo 1, insuficiencia adrenal, falla ovárica).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Condiciones no endocrinas autoinmunes (enfermedad celíaca, vitíligo, anemia perniciosa, síndrome de </w:t>
      </w:r>
      <w:proofErr w:type="spellStart"/>
      <w:r w:rsidRPr="0081154F">
        <w:rPr>
          <w:rFonts w:ascii="Arial" w:hAnsi="Arial" w:cs="Arial"/>
        </w:rPr>
        <w:t>Sjögren</w:t>
      </w:r>
      <w:proofErr w:type="spellEnd"/>
      <w:r w:rsidRPr="0081154F">
        <w:rPr>
          <w:rFonts w:ascii="Arial" w:hAnsi="Arial" w:cs="Arial"/>
        </w:rPr>
        <w:t>, etc.).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Historia de radioterapia en cabeza y cuello, tratamientos con yodo radioactivo o cirugía tiroidea.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Situaciones especiales como el postparto y síndromes cromosómicos (Turner, Down).</w:t>
      </w:r>
      <w:r w:rsidRPr="0081154F">
        <w:rPr>
          <w:rFonts w:ascii="Arial" w:hAnsi="Arial" w:cs="Arial"/>
        </w:rPr>
        <w:br/>
      </w:r>
      <w:r w:rsidRPr="0081154F">
        <w:rPr>
          <w:rFonts w:ascii="Arial" w:hAnsi="Arial" w:cs="Arial"/>
        </w:rPr>
        <w:t> </w:t>
      </w:r>
      <w:r w:rsidRPr="0081154F">
        <w:rPr>
          <w:rFonts w:ascii="Arial" w:hAnsi="Arial" w:cs="Arial"/>
        </w:rPr>
        <w:t xml:space="preserve"> – Uso de ciertos medicamentos (ej. litio, </w:t>
      </w:r>
      <w:proofErr w:type="spellStart"/>
      <w:r w:rsidRPr="0081154F">
        <w:rPr>
          <w:rFonts w:ascii="Arial" w:hAnsi="Arial" w:cs="Arial"/>
        </w:rPr>
        <w:t>amiodarona</w:t>
      </w:r>
      <w:proofErr w:type="spellEnd"/>
      <w:r w:rsidRPr="0081154F">
        <w:rPr>
          <w:rFonts w:ascii="Arial" w:hAnsi="Arial" w:cs="Arial"/>
        </w:rPr>
        <w:t>) que afectan la función tiroidea.</w:t>
      </w:r>
    </w:p>
    <w:p w14:paraId="32AF94BF" w14:textId="77777777" w:rsidR="00C35BC0" w:rsidRPr="0081154F" w:rsidRDefault="00C35BC0" w:rsidP="00A52048">
      <w:pPr>
        <w:pStyle w:val="NormalWeb"/>
        <w:spacing w:after="0" w:afterAutospacing="0"/>
        <w:rPr>
          <w:rFonts w:ascii="Arial" w:hAnsi="Arial" w:cs="Arial"/>
        </w:rPr>
      </w:pPr>
      <w:r w:rsidRPr="0081154F">
        <w:rPr>
          <w:rFonts w:ascii="Arial" w:hAnsi="Arial" w:cs="Arial"/>
        </w:rPr>
        <w:t>─────────────────────────────</w:t>
      </w:r>
      <w:r w:rsidRPr="0081154F">
        <w:rPr>
          <w:rFonts w:ascii="Arial" w:hAnsi="Arial" w:cs="Arial"/>
        </w:rPr>
        <w:br/>
      </w:r>
      <w:r w:rsidRPr="0081154F">
        <w:rPr>
          <w:rStyle w:val="Textoennegrita"/>
          <w:rFonts w:ascii="Arial" w:hAnsi="Arial" w:cs="Arial"/>
        </w:rPr>
        <w:t>Notas Adicionales</w:t>
      </w:r>
      <w:r w:rsidRPr="0081154F">
        <w:rPr>
          <w:rFonts w:ascii="Arial" w:hAnsi="Arial" w:cs="Arial"/>
        </w:rPr>
        <w:br/>
        <w:t>─────────────────────────────</w:t>
      </w:r>
      <w:r w:rsidRPr="0081154F">
        <w:rPr>
          <w:rFonts w:ascii="Arial" w:hAnsi="Arial" w:cs="Arial"/>
        </w:rPr>
        <w:br/>
        <w:t>• La presencia de síntomas es variable y frecuentemente poco específica, por lo que se enfatiza la importancia del diagnóstico bioquímico.</w:t>
      </w:r>
      <w:r w:rsidRPr="0081154F">
        <w:rPr>
          <w:rFonts w:ascii="Arial" w:hAnsi="Arial" w:cs="Arial"/>
        </w:rPr>
        <w:br/>
        <w:t>• La monitorización se realiza revisando los niveles de TSH cada 6–8 semanas tras cambios de dosis hasta lograr la meta deseada, continuándose con seguimiento periódico.</w:t>
      </w:r>
    </w:p>
    <w:p w14:paraId="14EA210E" w14:textId="08FF8F79" w:rsidR="00C35BC0" w:rsidRDefault="00C35BC0" w:rsidP="00A52048">
      <w:pPr>
        <w:pStyle w:val="NormalWeb"/>
        <w:spacing w:after="0" w:afterAutospacing="0"/>
        <w:rPr>
          <w:rFonts w:ascii="Arial" w:hAnsi="Arial" w:cs="Arial"/>
        </w:rPr>
      </w:pPr>
    </w:p>
    <w:p w14:paraId="7568B02B" w14:textId="77777777" w:rsidR="00367DB6" w:rsidRDefault="00367DB6" w:rsidP="00A52048">
      <w:pPr>
        <w:pStyle w:val="NormalWeb"/>
        <w:spacing w:after="0" w:afterAutospacing="0"/>
        <w:rPr>
          <w:rFonts w:ascii="Arial" w:hAnsi="Arial" w:cs="Arial"/>
        </w:rPr>
      </w:pPr>
    </w:p>
    <w:p w14:paraId="1BAEFE37" w14:textId="77777777" w:rsidR="00367DB6" w:rsidRDefault="00367DB6" w:rsidP="00A52048">
      <w:pPr>
        <w:pStyle w:val="NormalWeb"/>
        <w:spacing w:after="0" w:afterAutospacing="0"/>
        <w:rPr>
          <w:rFonts w:ascii="Arial" w:hAnsi="Arial" w:cs="Arial"/>
        </w:rPr>
      </w:pPr>
    </w:p>
    <w:p w14:paraId="7E31AC40" w14:textId="77777777" w:rsidR="00367DB6" w:rsidRDefault="00367DB6" w:rsidP="00A52048">
      <w:pPr>
        <w:pStyle w:val="NormalWeb"/>
        <w:spacing w:after="0" w:afterAutospacing="0"/>
        <w:rPr>
          <w:rFonts w:ascii="Arial" w:hAnsi="Arial" w:cs="Arial"/>
        </w:rPr>
      </w:pPr>
    </w:p>
    <w:p w14:paraId="5D15B7D6" w14:textId="436A7B59" w:rsidR="00E710BC" w:rsidRDefault="00E710BC">
      <w:pPr>
        <w:pStyle w:val="NormalWeb"/>
        <w:divId w:val="524905077"/>
        <w:rPr>
          <w:rFonts w:ascii="Arial" w:hAnsi="Arial" w:cs="Arial"/>
        </w:rPr>
      </w:pPr>
    </w:p>
    <w:p w14:paraId="259F3DFD" w14:textId="77777777" w:rsidR="00563599" w:rsidRDefault="00563599">
      <w:pPr>
        <w:pStyle w:val="NormalWeb"/>
        <w:divId w:val="524905077"/>
      </w:pPr>
    </w:p>
    <w:p w14:paraId="11D9F631" w14:textId="32B1B4CF" w:rsidR="00B12635" w:rsidRPr="00D47D1E" w:rsidRDefault="00D47D1E" w:rsidP="00B12635">
      <w:pPr>
        <w:pStyle w:val="NormalWeb"/>
        <w:spacing w:after="0" w:afterAutospacing="0"/>
        <w:divId w:val="524905077"/>
        <w:rPr>
          <w:rFonts w:ascii="Arial" w:hAnsi="Arial" w:cs="Arial"/>
          <w:b/>
          <w:bCs/>
        </w:rPr>
      </w:pPr>
      <w:r w:rsidRPr="00D47D1E">
        <w:rPr>
          <w:rFonts w:ascii="Arial" w:hAnsi="Arial" w:cs="Arial"/>
          <w:b/>
          <w:bCs/>
        </w:rPr>
        <w:t>CETOACIDOSIS</w:t>
      </w:r>
    </w:p>
    <w:p w14:paraId="253A6F6D" w14:textId="007E8C53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Definición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>• Es una complicación aguda y potencialmente letal de la diabetes, caracterizada por la deficiencia absoluta o relativa de insulina.</w:t>
      </w:r>
      <w:r w:rsidRPr="00563599">
        <w:rPr>
          <w:rFonts w:ascii="Arial" w:hAnsi="Arial" w:cs="Arial"/>
        </w:rPr>
        <w:br/>
        <w:t xml:space="preserve">• Se presenta con hiperglucemia, acidosis metabólica, </w:t>
      </w:r>
      <w:proofErr w:type="spellStart"/>
      <w:r w:rsidRPr="00563599">
        <w:rPr>
          <w:rFonts w:ascii="Arial" w:hAnsi="Arial" w:cs="Arial"/>
        </w:rPr>
        <w:t>hipercetonemia</w:t>
      </w:r>
      <w:proofErr w:type="spellEnd"/>
      <w:r w:rsidRPr="00563599">
        <w:rPr>
          <w:rFonts w:ascii="Arial" w:hAnsi="Arial" w:cs="Arial"/>
        </w:rPr>
        <w:t xml:space="preserve"> y, en menor medida, con alteraciones en la </w:t>
      </w:r>
      <w:proofErr w:type="spellStart"/>
      <w:r w:rsidRPr="00563599">
        <w:rPr>
          <w:rFonts w:ascii="Arial" w:hAnsi="Arial" w:cs="Arial"/>
        </w:rPr>
        <w:t>osmolaridad</w:t>
      </w:r>
      <w:proofErr w:type="spellEnd"/>
      <w:r w:rsidRPr="00563599">
        <w:rPr>
          <w:rFonts w:ascii="Arial" w:hAnsi="Arial" w:cs="Arial"/>
        </w:rPr>
        <w:t xml:space="preserve"> (en el caso del estado </w:t>
      </w:r>
      <w:proofErr w:type="spellStart"/>
      <w:r w:rsidRPr="00563599">
        <w:rPr>
          <w:rFonts w:ascii="Arial" w:hAnsi="Arial" w:cs="Arial"/>
        </w:rPr>
        <w:t>hiperglucémico</w:t>
      </w:r>
      <w:proofErr w:type="spellEnd"/>
      <w:r w:rsidRPr="00563599">
        <w:rPr>
          <w:rFonts w:ascii="Arial" w:hAnsi="Arial" w:cs="Arial"/>
        </w:rPr>
        <w:t xml:space="preserve"> </w:t>
      </w:r>
      <w:proofErr w:type="spellStart"/>
      <w:r w:rsidRPr="00563599">
        <w:rPr>
          <w:rFonts w:ascii="Arial" w:hAnsi="Arial" w:cs="Arial"/>
        </w:rPr>
        <w:t>hiperosmolar</w:t>
      </w:r>
      <w:proofErr w:type="spellEnd"/>
      <w:r w:rsidRPr="00563599">
        <w:rPr>
          <w:rFonts w:ascii="Arial" w:hAnsi="Arial" w:cs="Arial"/>
        </w:rPr>
        <w:t>, EHH).</w:t>
      </w:r>
      <w:r w:rsidRPr="00563599">
        <w:rPr>
          <w:rFonts w:ascii="Arial" w:hAnsi="Arial" w:cs="Arial"/>
        </w:rPr>
        <w:br/>
        <w:t>• Aunque se discute en el mismo espectro que el EHH, la CAD se distingue por la presencia de cetonas significativas y acidosis (pH bajo y bicarbonato disminuido).</w:t>
      </w:r>
    </w:p>
    <w:p w14:paraId="4DD1648A" w14:textId="77777777" w:rsidR="00E710BC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Epidemiología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>• La CAD es más frecuente en pacientes con diabetes tipo 1, especialmente en jóvenes y adolescentes; sin embargo, un porcentaje importante de casos también se observa en diabetes tipo 2.</w:t>
      </w:r>
      <w:r w:rsidRPr="00563599">
        <w:rPr>
          <w:rFonts w:ascii="Arial" w:hAnsi="Arial" w:cs="Arial"/>
        </w:rPr>
        <w:br/>
        <w:t>• En Estados Unidos se reportan aproximadamente 145,000 episodios de CAD al año, siendo causa importante de mortalidad en niños y adultos jóvenes con DM1.</w:t>
      </w:r>
      <w:r w:rsidRPr="00563599">
        <w:rPr>
          <w:rFonts w:ascii="Arial" w:hAnsi="Arial" w:cs="Arial"/>
        </w:rPr>
        <w:br/>
        <w:t>• La incidencia en niños es alta (entre el 30–40% de la presentación inicial en DM1) y en adultos se encuentra en torno al 15–20% como forma de presentación inicial.</w:t>
      </w:r>
      <w:r w:rsidRPr="00563599">
        <w:rPr>
          <w:rFonts w:ascii="Arial" w:hAnsi="Arial" w:cs="Arial"/>
        </w:rPr>
        <w:br/>
        <w:t>• Los pacientes de edad avanzada pueden presentar mayor riesgo de complicaciones y mortalidad, especialmente si concurren comorbilidades.</w:t>
      </w:r>
    </w:p>
    <w:p w14:paraId="4814DF35" w14:textId="77777777" w:rsidR="00C74DC4" w:rsidRPr="00563599" w:rsidRDefault="00C74DC4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750AE7F5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lastRenderedPageBreak/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Valores Normales y Parámetros de Laboratorio en CAD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Glucosa plasmática:</w:t>
      </w:r>
      <w:r w:rsidRPr="00563599">
        <w:rPr>
          <w:rFonts w:ascii="Arial" w:hAnsi="Arial" w:cs="Arial"/>
        </w:rPr>
        <w:t xml:space="preserve"> En CAD se observa generalmente &gt;250 mg/dl.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pH: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CAD leve: 7.25 a 7.3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CAD moderada: alrededor de 7.24 a 7.0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CAD severa: &lt;7.0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Bicarbonato sérico (HCO</w:t>
      </w:r>
      <w:r w:rsidRPr="00563599">
        <w:rPr>
          <w:rStyle w:val="Textoennegrita"/>
          <w:rFonts w:ascii="Cambria Math" w:hAnsi="Cambria Math" w:cs="Cambria Math"/>
        </w:rPr>
        <w:t>₃</w:t>
      </w:r>
      <w:r w:rsidRPr="00563599">
        <w:rPr>
          <w:rStyle w:val="Textoennegrita"/>
          <w:rFonts w:ascii="Arial" w:hAnsi="Arial" w:cs="Arial"/>
        </w:rPr>
        <w:t>):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Leve: 15–16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Moderada: 10–15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Severa: &lt;10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Cuerpos cetónicos:</w:t>
      </w:r>
      <w:r w:rsidRPr="00563599">
        <w:rPr>
          <w:rFonts w:ascii="Arial" w:hAnsi="Arial" w:cs="Arial"/>
        </w:rPr>
        <w:t xml:space="preserve"> Prueba positiva en orina o suero (por </w:t>
      </w:r>
      <w:proofErr w:type="spellStart"/>
      <w:r w:rsidRPr="00563599">
        <w:rPr>
          <w:rFonts w:ascii="Arial" w:hAnsi="Arial" w:cs="Arial"/>
        </w:rPr>
        <w:t>nitroprusiato</w:t>
      </w:r>
      <w:proofErr w:type="spellEnd"/>
      <w:r w:rsidRPr="00563599">
        <w:rPr>
          <w:rFonts w:ascii="Arial" w:hAnsi="Arial" w:cs="Arial"/>
        </w:rPr>
        <w:t>) y beta-</w:t>
      </w:r>
      <w:proofErr w:type="spellStart"/>
      <w:r w:rsidRPr="00563599">
        <w:rPr>
          <w:rFonts w:ascii="Arial" w:hAnsi="Arial" w:cs="Arial"/>
        </w:rPr>
        <w:t>hidroxibutirato</w:t>
      </w:r>
      <w:proofErr w:type="spellEnd"/>
      <w:r w:rsidRPr="00563599">
        <w:rPr>
          <w:rFonts w:ascii="Arial" w:hAnsi="Arial" w:cs="Arial"/>
        </w:rPr>
        <w:t xml:space="preserve"> &gt;17.43 mg/dl (valores de corte según criterios adoptados).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Anión gap:</w:t>
      </w:r>
      <w:r w:rsidRPr="00563599">
        <w:rPr>
          <w:rFonts w:ascii="Arial" w:hAnsi="Arial" w:cs="Arial"/>
        </w:rPr>
        <w:t xml:space="preserve"> Mayor de 10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 (o &gt;12 en casos moderados a severos).</w:t>
      </w:r>
      <w:r w:rsidRPr="00563599">
        <w:rPr>
          <w:rFonts w:ascii="Arial" w:hAnsi="Arial" w:cs="Arial"/>
        </w:rPr>
        <w:br/>
        <w:t xml:space="preserve">• Otros estudios incluyen mediciones de </w:t>
      </w:r>
      <w:proofErr w:type="spellStart"/>
      <w:r w:rsidRPr="00563599">
        <w:rPr>
          <w:rFonts w:ascii="Arial" w:hAnsi="Arial" w:cs="Arial"/>
        </w:rPr>
        <w:t>osmolaridad</w:t>
      </w:r>
      <w:proofErr w:type="spellEnd"/>
      <w:r w:rsidRPr="00563599">
        <w:rPr>
          <w:rFonts w:ascii="Arial" w:hAnsi="Arial" w:cs="Arial"/>
        </w:rPr>
        <w:t xml:space="preserve"> plasmática, electrolitos (</w:t>
      </w:r>
      <w:proofErr w:type="spellStart"/>
      <w:r w:rsidRPr="00563599">
        <w:rPr>
          <w:rFonts w:ascii="Arial" w:hAnsi="Arial" w:cs="Arial"/>
        </w:rPr>
        <w:t>Na</w:t>
      </w:r>
      <w:proofErr w:type="spellEnd"/>
      <w:r w:rsidRPr="00563599">
        <w:rPr>
          <w:rFonts w:ascii="Arial" w:hAnsi="Arial" w:cs="Arial"/>
        </w:rPr>
        <w:t>, K, Cl, etc.), función renal (BUN, creatinina) y gasometría arterial o venosa para evaluar pH y bicarbonato.</w:t>
      </w:r>
    </w:p>
    <w:p w14:paraId="3E719C70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Clínica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Síntomas comunes: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Poliuria y polidipsia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Náuseas y vómitos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Dolor abdominal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Respiración profunda y rápida (patrón de </w:t>
      </w:r>
      <w:proofErr w:type="spellStart"/>
      <w:r w:rsidRPr="00563599">
        <w:rPr>
          <w:rFonts w:ascii="Arial" w:hAnsi="Arial" w:cs="Arial"/>
        </w:rPr>
        <w:t>Kussmaul</w:t>
      </w:r>
      <w:proofErr w:type="spellEnd"/>
      <w:r w:rsidRPr="00563599">
        <w:rPr>
          <w:rFonts w:ascii="Arial" w:hAnsi="Arial" w:cs="Arial"/>
        </w:rPr>
        <w:t>)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Aliento afrutado (por cetonas)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Signos de gravedad: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Deshidratación severa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Alteración del estado mental (desde alerta en casos leves hasta somnolencia o coma en casos severos)</w:t>
      </w:r>
    </w:p>
    <w:p w14:paraId="278B46E3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lastRenderedPageBreak/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Diagnóstico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>• Se fundamenta en la combinación de hallazgos clínicos y la confirmación mediante estudios de laboratorio: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Hiperglucemia &gt;250 mg/dl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Acidosis (pH y bicarbonato disminuidos)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Presencia de cetonas en orina o suero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Anión gap elevado</w:t>
      </w:r>
      <w:r w:rsidRPr="00563599">
        <w:rPr>
          <w:rFonts w:ascii="Arial" w:hAnsi="Arial" w:cs="Arial"/>
        </w:rPr>
        <w:br/>
        <w:t>• Los criterios diagnósticos varían según la severidad: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CAD leve:</w:t>
      </w:r>
      <w:r w:rsidRPr="00563599">
        <w:rPr>
          <w:rFonts w:ascii="Arial" w:hAnsi="Arial" w:cs="Arial"/>
        </w:rPr>
        <w:t xml:space="preserve"> pH 7.25–7.3, HCO</w:t>
      </w:r>
      <w:r w:rsidRPr="00563599">
        <w:rPr>
          <w:rFonts w:ascii="Cambria Math" w:hAnsi="Cambria Math" w:cs="Cambria Math"/>
        </w:rPr>
        <w:t>₃</w:t>
      </w:r>
      <w:r w:rsidRPr="00563599">
        <w:rPr>
          <w:rFonts w:ascii="Arial" w:hAnsi="Arial" w:cs="Arial"/>
        </w:rPr>
        <w:t xml:space="preserve"> 15–16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/L, anión gap &gt;10, con paciente alerta.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CAD moderada:</w:t>
      </w:r>
      <w:r w:rsidRPr="00563599">
        <w:rPr>
          <w:rFonts w:ascii="Arial" w:hAnsi="Arial" w:cs="Arial"/>
        </w:rPr>
        <w:t xml:space="preserve"> pH de 7.24 a 7.0, HCO</w:t>
      </w:r>
      <w:r w:rsidRPr="00563599">
        <w:rPr>
          <w:rFonts w:ascii="Cambria Math" w:hAnsi="Cambria Math" w:cs="Cambria Math"/>
        </w:rPr>
        <w:t>₃</w:t>
      </w:r>
      <w:r w:rsidRPr="00563599">
        <w:rPr>
          <w:rFonts w:ascii="Arial" w:hAnsi="Arial" w:cs="Arial"/>
        </w:rPr>
        <w:t xml:space="preserve"> de 10 a 15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/L, anión gap &gt;12, con paciente alerta o somnoliento.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CAD severa:</w:t>
      </w:r>
      <w:r w:rsidRPr="00563599">
        <w:rPr>
          <w:rFonts w:ascii="Arial" w:hAnsi="Arial" w:cs="Arial"/>
        </w:rPr>
        <w:t xml:space="preserve"> pH &lt;7.0, HCO</w:t>
      </w:r>
      <w:r w:rsidRPr="00563599">
        <w:rPr>
          <w:rFonts w:ascii="Cambria Math" w:hAnsi="Cambria Math" w:cs="Cambria Math"/>
        </w:rPr>
        <w:t>₃</w:t>
      </w:r>
      <w:r w:rsidRPr="00563599">
        <w:rPr>
          <w:rFonts w:ascii="Arial" w:hAnsi="Arial" w:cs="Arial"/>
        </w:rPr>
        <w:t xml:space="preserve"> &lt;10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/L, anión gap &gt;12, con deterioro del estado mental (estupor o coma).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Estudios complementarios: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Medición de electrolitos, BH, BUN, creatinina, </w:t>
      </w:r>
      <w:proofErr w:type="spellStart"/>
      <w:r w:rsidRPr="00563599">
        <w:rPr>
          <w:rFonts w:ascii="Arial" w:hAnsi="Arial" w:cs="Arial"/>
        </w:rPr>
        <w:t>osmolaridad</w:t>
      </w:r>
      <w:proofErr w:type="spellEnd"/>
      <w:r w:rsidRPr="00563599">
        <w:rPr>
          <w:rFonts w:ascii="Arial" w:hAnsi="Arial" w:cs="Arial"/>
        </w:rPr>
        <w:t xml:space="preserve"> y gasometría para el seguimiento de la respuesta terapéutica.</w:t>
      </w:r>
    </w:p>
    <w:p w14:paraId="252B2FE8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Tratamiento y Dosis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1. Reposición de líquidos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Inicial:</w:t>
      </w:r>
      <w:r w:rsidRPr="00563599">
        <w:rPr>
          <w:rFonts w:ascii="Arial" w:hAnsi="Arial" w:cs="Arial"/>
        </w:rPr>
        <w:t xml:space="preserve"> Administrar 1000–1500 ml de solución salina al 0.9% durante la primera hora.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Mantenimiento:</w:t>
      </w:r>
      <w:r w:rsidRPr="00563599">
        <w:rPr>
          <w:rFonts w:ascii="Arial" w:hAnsi="Arial" w:cs="Arial"/>
        </w:rPr>
        <w:t xml:space="preserve"> Posteriormente ajustar la infusión (250–500 ml/h) y, según el sodio corregido, se puede cambiar a solución salina al 0.45% en pacientes con </w:t>
      </w:r>
      <w:proofErr w:type="spellStart"/>
      <w:r w:rsidRPr="00563599">
        <w:rPr>
          <w:rFonts w:ascii="Arial" w:hAnsi="Arial" w:cs="Arial"/>
        </w:rPr>
        <w:t>Na</w:t>
      </w:r>
      <w:proofErr w:type="spellEnd"/>
      <w:r w:rsidRPr="00563599">
        <w:rPr>
          <w:rFonts w:ascii="Arial" w:hAnsi="Arial" w:cs="Arial"/>
        </w:rPr>
        <w:t xml:space="preserve"> normal/alto o continuar con 0.9% en casos de hiponatremia.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Glucosa:</w:t>
      </w:r>
      <w:r w:rsidRPr="00563599">
        <w:rPr>
          <w:rFonts w:ascii="Arial" w:hAnsi="Arial" w:cs="Arial"/>
        </w:rPr>
        <w:t xml:space="preserve"> Cuando la glucosa disminuya a &lt;250 mg/dl, se adiciona solución glucosada (5–10%) a la infusión, reduciendo también la velocidad de la infusión de insulina.</w:t>
      </w:r>
    </w:p>
    <w:p w14:paraId="04D9AF07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Style w:val="Textoennegrita"/>
          <w:rFonts w:ascii="Arial" w:hAnsi="Arial" w:cs="Arial"/>
        </w:rPr>
        <w:t>2. Insulinoterapia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Bolo inicial:</w:t>
      </w:r>
      <w:r w:rsidRPr="00563599">
        <w:rPr>
          <w:rFonts w:ascii="Arial" w:hAnsi="Arial" w:cs="Arial"/>
        </w:rPr>
        <w:t xml:space="preserve"> Insulina regular IV a dosis de 0.1 U/kg.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Infusión continua:</w:t>
      </w:r>
      <w:r w:rsidRPr="00563599">
        <w:rPr>
          <w:rFonts w:ascii="Arial" w:hAnsi="Arial" w:cs="Arial"/>
        </w:rPr>
        <w:t xml:space="preserve"> Insulina regular IV a 0.1 U/kg/h; cuando </w:t>
      </w:r>
      <w:r w:rsidRPr="00563599">
        <w:rPr>
          <w:rFonts w:ascii="Arial" w:hAnsi="Arial" w:cs="Arial"/>
        </w:rPr>
        <w:lastRenderedPageBreak/>
        <w:t>la glucosa alcance valores menores a 250 mg/dl, se reduce la infusión a 0.05 U/kg/h para mantener niveles entre 150–200 mg/dl.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</w:t>
      </w:r>
      <w:r w:rsidRPr="00563599">
        <w:rPr>
          <w:rStyle w:val="Textoennegrita"/>
          <w:rFonts w:ascii="Arial" w:hAnsi="Arial" w:cs="Arial"/>
        </w:rPr>
        <w:t>Modalidad:</w:t>
      </w:r>
      <w:r w:rsidRPr="00563599">
        <w:rPr>
          <w:rFonts w:ascii="Arial" w:hAnsi="Arial" w:cs="Arial"/>
        </w:rPr>
        <w:t xml:space="preserve"> Generalmente se utiliza insulina IV hasta la resolución de la CAD.</w:t>
      </w:r>
    </w:p>
    <w:p w14:paraId="2E1C478E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Style w:val="Textoennegrita"/>
          <w:rFonts w:ascii="Arial" w:hAnsi="Arial" w:cs="Arial"/>
        </w:rPr>
        <w:t>3. Manejo del potasio (K</w:t>
      </w:r>
      <w:r w:rsidRPr="00563599">
        <w:rPr>
          <w:rStyle w:val="Textoennegrita"/>
          <w:rFonts w:ascii="Cambria Math" w:hAnsi="Cambria Math" w:cs="Cambria Math"/>
        </w:rPr>
        <w:t>⁺</w:t>
      </w:r>
      <w:r w:rsidRPr="00563599">
        <w:rPr>
          <w:rStyle w:val="Textoennegrita"/>
          <w:rFonts w:ascii="Arial" w:hAnsi="Arial" w:cs="Arial"/>
        </w:rPr>
        <w:t>)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Si K &gt;5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/L: no se añade suplemento.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Si K está entre 4 y 5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 xml:space="preserve">/L: agregar 20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 xml:space="preserve"> de </w:t>
      </w:r>
      <w:proofErr w:type="spellStart"/>
      <w:r w:rsidRPr="00563599">
        <w:rPr>
          <w:rFonts w:ascii="Arial" w:hAnsi="Arial" w:cs="Arial"/>
        </w:rPr>
        <w:t>KCl</w:t>
      </w:r>
      <w:proofErr w:type="spellEnd"/>
      <w:r w:rsidRPr="00563599">
        <w:rPr>
          <w:rFonts w:ascii="Arial" w:hAnsi="Arial" w:cs="Arial"/>
        </w:rPr>
        <w:t xml:space="preserve"> por cada litro de solución.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Si K está entre 3 y 4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 xml:space="preserve">/L: agregar 40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 xml:space="preserve"> de </w:t>
      </w:r>
      <w:proofErr w:type="spellStart"/>
      <w:r w:rsidRPr="00563599">
        <w:rPr>
          <w:rFonts w:ascii="Arial" w:hAnsi="Arial" w:cs="Arial"/>
        </w:rPr>
        <w:t>KCl</w:t>
      </w:r>
      <w:proofErr w:type="spellEnd"/>
      <w:r w:rsidRPr="00563599">
        <w:rPr>
          <w:rFonts w:ascii="Arial" w:hAnsi="Arial" w:cs="Arial"/>
        </w:rPr>
        <w:t xml:space="preserve"> por litro.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Si K &lt;3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 xml:space="preserve">/L: </w:t>
      </w:r>
      <w:r w:rsidRPr="00563599">
        <w:rPr>
          <w:rStyle w:val="Textoennegrita"/>
          <w:rFonts w:ascii="Arial" w:hAnsi="Arial" w:cs="Arial"/>
        </w:rPr>
        <w:t>NO iniciar insulina</w:t>
      </w:r>
      <w:r w:rsidRPr="00563599">
        <w:rPr>
          <w:rFonts w:ascii="Arial" w:hAnsi="Arial" w:cs="Arial"/>
        </w:rPr>
        <w:t xml:space="preserve"> hasta corregir, administrando 10–20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 xml:space="preserve"> de </w:t>
      </w:r>
      <w:proofErr w:type="spellStart"/>
      <w:r w:rsidRPr="00563599">
        <w:rPr>
          <w:rFonts w:ascii="Arial" w:hAnsi="Arial" w:cs="Arial"/>
        </w:rPr>
        <w:t>KCl</w:t>
      </w:r>
      <w:proofErr w:type="spellEnd"/>
      <w:r w:rsidRPr="00563599">
        <w:rPr>
          <w:rFonts w:ascii="Arial" w:hAnsi="Arial" w:cs="Arial"/>
        </w:rPr>
        <w:t xml:space="preserve"> cada hora hasta que K supere los 3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/L.</w:t>
      </w:r>
    </w:p>
    <w:p w14:paraId="0DF1EC47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Style w:val="Textoennegrita"/>
          <w:rFonts w:ascii="Arial" w:hAnsi="Arial" w:cs="Arial"/>
        </w:rPr>
        <w:t>4. Administración de bicarbonato</w:t>
      </w:r>
      <w:r w:rsidRPr="00563599">
        <w:rPr>
          <w:rFonts w:ascii="Arial" w:hAnsi="Arial" w:cs="Arial"/>
        </w:rPr>
        <w:br/>
      </w:r>
      <w:r w:rsidRPr="00563599">
        <w:rPr>
          <w:rFonts w:ascii="Arial" w:hAnsi="Arial" w:cs="Arial"/>
        </w:rPr>
        <w:t> </w:t>
      </w:r>
      <w:r w:rsidRPr="00563599">
        <w:rPr>
          <w:rFonts w:ascii="Arial" w:hAnsi="Arial" w:cs="Arial"/>
        </w:rPr>
        <w:t xml:space="preserve"> – Se recomienda únicamente en casos de pH ≤6.9, administrando 50–100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 xml:space="preserve"> en 200 ml de solución salina 0.9% (recomendación condicional).</w:t>
      </w:r>
    </w:p>
    <w:p w14:paraId="15022388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Factores de Riesgo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Diabetes mal controlada:</w:t>
      </w:r>
      <w:r w:rsidRPr="00563599">
        <w:rPr>
          <w:rFonts w:ascii="Arial" w:hAnsi="Arial" w:cs="Arial"/>
        </w:rPr>
        <w:t xml:space="preserve"> Principal factor en la etiología.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Descompensación aguda:</w:t>
      </w:r>
      <w:r w:rsidRPr="00563599">
        <w:rPr>
          <w:rFonts w:ascii="Arial" w:hAnsi="Arial" w:cs="Arial"/>
        </w:rPr>
        <w:t xml:space="preserve"> Pobre adherencia al tratamiento (especialmente en DM1), infecciones (urinarias, neumonía, entre otras), estrés, enfermedades concomitantes como infarto o accidente cerebrovascular.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Otros:</w:t>
      </w:r>
      <w:r w:rsidRPr="00563599">
        <w:rPr>
          <w:rFonts w:ascii="Arial" w:hAnsi="Arial" w:cs="Arial"/>
        </w:rPr>
        <w:t xml:space="preserve"> Uso inadecuado de insulina, trastornos psicológicos (depresión, desórdenes alimenticios) y algunos fármacos (glucocorticoides, </w:t>
      </w:r>
      <w:proofErr w:type="spellStart"/>
      <w:r w:rsidRPr="00563599">
        <w:rPr>
          <w:rFonts w:ascii="Arial" w:hAnsi="Arial" w:cs="Arial"/>
        </w:rPr>
        <w:t>tiazidas</w:t>
      </w:r>
      <w:proofErr w:type="spellEnd"/>
      <w:r w:rsidRPr="00563599">
        <w:rPr>
          <w:rFonts w:ascii="Arial" w:hAnsi="Arial" w:cs="Arial"/>
        </w:rPr>
        <w:t>, SGLT2).</w:t>
      </w:r>
    </w:p>
    <w:p w14:paraId="0E19D3AE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Gold Standard y Estudios de Laboratorio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Diagnóstico:</w:t>
      </w:r>
      <w:r w:rsidRPr="00563599">
        <w:rPr>
          <w:rFonts w:ascii="Arial" w:hAnsi="Arial" w:cs="Arial"/>
        </w:rPr>
        <w:t xml:space="preserve"> Se basa en la medición de glucosa, gasometría </w:t>
      </w:r>
      <w:r w:rsidRPr="00563599">
        <w:rPr>
          <w:rFonts w:ascii="Arial" w:hAnsi="Arial" w:cs="Arial"/>
        </w:rPr>
        <w:lastRenderedPageBreak/>
        <w:t>arterial o venosa (para pH y bicarbonato), determinación de cetonas en sangre u orina, y cálculo del anión gap.</w:t>
      </w:r>
      <w:r w:rsidRPr="00563599">
        <w:rPr>
          <w:rFonts w:ascii="Arial" w:hAnsi="Arial" w:cs="Arial"/>
        </w:rPr>
        <w:br/>
        <w:t xml:space="preserve">• </w:t>
      </w:r>
      <w:r w:rsidRPr="00563599">
        <w:rPr>
          <w:rStyle w:val="Textoennegrita"/>
          <w:rFonts w:ascii="Arial" w:hAnsi="Arial" w:cs="Arial"/>
        </w:rPr>
        <w:t>Monitoreo:</w:t>
      </w:r>
      <w:r w:rsidRPr="00563599">
        <w:rPr>
          <w:rFonts w:ascii="Arial" w:hAnsi="Arial" w:cs="Arial"/>
        </w:rPr>
        <w:t xml:space="preserve"> Es fundamental realizar controles de glucemia cada 1 a 2 horas y de electrolitos, pH y HCO</w:t>
      </w:r>
      <w:r w:rsidRPr="00563599">
        <w:rPr>
          <w:rFonts w:ascii="Cambria Math" w:hAnsi="Cambria Math" w:cs="Cambria Math"/>
        </w:rPr>
        <w:t>₃</w:t>
      </w:r>
      <w:r w:rsidRPr="00563599">
        <w:rPr>
          <w:rFonts w:ascii="Arial" w:hAnsi="Arial" w:cs="Arial"/>
        </w:rPr>
        <w:t xml:space="preserve"> cada 4 a 6 horas para evaluar la evolución y ajustar el tratamiento (según se detalla en los flujogramas de la guía).</w:t>
      </w:r>
    </w:p>
    <w:p w14:paraId="0FDA6154" w14:textId="77777777" w:rsidR="00E710BC" w:rsidRPr="00563599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  <w:r w:rsidRPr="00563599">
        <w:rPr>
          <w:rFonts w:ascii="Arial" w:hAnsi="Arial" w:cs="Arial"/>
        </w:rPr>
        <w:t>─────────────────────────────</w:t>
      </w:r>
      <w:r w:rsidRPr="00563599">
        <w:rPr>
          <w:rFonts w:ascii="Arial" w:hAnsi="Arial" w:cs="Arial"/>
        </w:rPr>
        <w:br/>
      </w:r>
      <w:r w:rsidRPr="00563599">
        <w:rPr>
          <w:rStyle w:val="Textoennegrita"/>
          <w:rFonts w:ascii="Arial" w:hAnsi="Arial" w:cs="Arial"/>
        </w:rPr>
        <w:t>Notas Adicionales</w:t>
      </w:r>
      <w:r w:rsidRPr="00563599">
        <w:rPr>
          <w:rFonts w:ascii="Arial" w:hAnsi="Arial" w:cs="Arial"/>
        </w:rPr>
        <w:br/>
        <w:t>─────────────────────────────</w:t>
      </w:r>
      <w:r w:rsidRPr="00563599">
        <w:rPr>
          <w:rFonts w:ascii="Arial" w:hAnsi="Arial" w:cs="Arial"/>
        </w:rPr>
        <w:br/>
        <w:t>• El lugar de atención depende de la severidad: pacientes con CAD leve a moderada pueden ser manejados en urgencias u hospitalizados en unidades intermedias; en casos severos se recomienda ingreso en UCI si se cuenta con la infraestructura adecuada.</w:t>
      </w:r>
      <w:r w:rsidRPr="00563599">
        <w:rPr>
          <w:rFonts w:ascii="Arial" w:hAnsi="Arial" w:cs="Arial"/>
        </w:rPr>
        <w:br/>
        <w:t xml:space="preserve">• La resolución de la CAD se define por: glucosa &lt;200 mg/dl, bicarbonato ≥18 </w:t>
      </w:r>
      <w:proofErr w:type="spellStart"/>
      <w:r w:rsidRPr="00563599">
        <w:rPr>
          <w:rFonts w:ascii="Arial" w:hAnsi="Arial" w:cs="Arial"/>
        </w:rPr>
        <w:t>mEq</w:t>
      </w:r>
      <w:proofErr w:type="spellEnd"/>
      <w:r w:rsidRPr="00563599">
        <w:rPr>
          <w:rFonts w:ascii="Arial" w:hAnsi="Arial" w:cs="Arial"/>
        </w:rPr>
        <w:t>/L, pH ≥7.3 y anión gap &lt;12, lo que guía el momento para iniciar la transición del tratamiento IV a terapia subcutánea u oral.</w:t>
      </w:r>
    </w:p>
    <w:p w14:paraId="3E3D5C1A" w14:textId="63C3BE35" w:rsidR="00E710BC" w:rsidRDefault="00E710BC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309E49AE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3A1AE19C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2B658D8F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4BE69817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18AD0DED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7B6570C2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0D3FACAB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68920D44" w14:textId="77777777" w:rsidR="00E83C9B" w:rsidRDefault="00E83C9B" w:rsidP="00B12635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292B30BE" w14:textId="667572C4" w:rsidR="00C77016" w:rsidRPr="00E02D99" w:rsidRDefault="00E02D99" w:rsidP="0051336A">
      <w:pPr>
        <w:pStyle w:val="NormalWeb"/>
        <w:spacing w:after="0" w:afterAutospacing="0"/>
        <w:divId w:val="1442605202"/>
        <w:rPr>
          <w:rFonts w:ascii="Arial" w:hAnsi="Arial" w:cs="Arial"/>
          <w:b/>
          <w:bCs/>
        </w:rPr>
      </w:pPr>
      <w:r w:rsidRPr="00E02D99">
        <w:rPr>
          <w:rFonts w:ascii="Arial" w:hAnsi="Arial" w:cs="Arial"/>
          <w:b/>
          <w:bCs/>
        </w:rPr>
        <w:lastRenderedPageBreak/>
        <w:t>DIABETES MELLITUS</w:t>
      </w:r>
    </w:p>
    <w:p w14:paraId="78F9BB37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Definición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>• Diabetes Mellitus es un trastorno metabólico crónico caracterizado por niveles elevados de glucosa en sangre debido a defectos en la secreción, acción o ambas de la insulina.</w:t>
      </w:r>
      <w:r w:rsidRPr="00E02D99">
        <w:rPr>
          <w:rFonts w:ascii="Arial" w:hAnsi="Arial" w:cs="Arial"/>
        </w:rPr>
        <w:br/>
        <w:t>• Se clasifica principalmente en diabetes tipo 1 (deficiencia absoluta de insulina) y tipo 2 (resistencia a la insulina con deficiencia relativa).</w:t>
      </w:r>
    </w:p>
    <w:p w14:paraId="1F903727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Epidemiología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>• La prevalencia de la diabetes está en aumento a nivel mundial y en México, donde afecta a un porcentaje considerable de la población adulta.</w:t>
      </w:r>
      <w:r w:rsidRPr="00E02D99">
        <w:rPr>
          <w:rFonts w:ascii="Arial" w:hAnsi="Arial" w:cs="Arial"/>
        </w:rPr>
        <w:br/>
        <w:t>• La diabetes tipo 2 es más frecuente en adultos de mediana edad y mayores; aunque los dos sexos se ven afectados, en algunos estudios se reporta una mayor prevalencia en mujeres, especialmente por la asociación con obesidad y otros factores de riesgo.</w:t>
      </w:r>
      <w:r w:rsidRPr="00E02D99">
        <w:rPr>
          <w:rFonts w:ascii="Arial" w:hAnsi="Arial" w:cs="Arial"/>
        </w:rPr>
        <w:br/>
        <w:t>• La diabetes tipo 1 representa un menor porcentaje de los casos, afectando primordialmente a niños, adolescentes y adultos jóvenes.</w:t>
      </w:r>
    </w:p>
    <w:p w14:paraId="7AA0848B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Valores Normales y Parámetros de Laboratorio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 xml:space="preserve">• </w:t>
      </w:r>
      <w:r w:rsidRPr="00E02D99">
        <w:rPr>
          <w:rStyle w:val="Textoennegrita"/>
          <w:rFonts w:ascii="Arial" w:hAnsi="Arial" w:cs="Arial"/>
        </w:rPr>
        <w:t>Glucosa plasmática en ayunas (FPG):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Normal: &lt;100 mg/dl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Prediabetes: 100–125 mg/dl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Diabetes: ≥126 mg/dl</w:t>
      </w:r>
      <w:r w:rsidRPr="00E02D99">
        <w:rPr>
          <w:rFonts w:ascii="Arial" w:hAnsi="Arial" w:cs="Arial"/>
        </w:rPr>
        <w:br/>
        <w:t xml:space="preserve">• </w:t>
      </w:r>
      <w:r w:rsidRPr="00E02D99">
        <w:rPr>
          <w:rStyle w:val="Textoennegrita"/>
          <w:rFonts w:ascii="Arial" w:hAnsi="Arial" w:cs="Arial"/>
        </w:rPr>
        <w:t>Prueba de tolerancia a la glucosa oral (OGTT):</w:t>
      </w:r>
      <w:r w:rsidRPr="00E02D99">
        <w:rPr>
          <w:rFonts w:ascii="Arial" w:hAnsi="Arial" w:cs="Arial"/>
        </w:rPr>
        <w:t xml:space="preserve"> 2 horas ≥200 mg/dl para diagnóstico de diabetes.</w:t>
      </w:r>
      <w:r w:rsidRPr="00E02D99">
        <w:rPr>
          <w:rFonts w:ascii="Arial" w:hAnsi="Arial" w:cs="Arial"/>
        </w:rPr>
        <w:br/>
        <w:t xml:space="preserve">• </w:t>
      </w:r>
      <w:r w:rsidRPr="00E02D99">
        <w:rPr>
          <w:rStyle w:val="Textoennegrita"/>
          <w:rFonts w:ascii="Arial" w:hAnsi="Arial" w:cs="Arial"/>
        </w:rPr>
        <w:t xml:space="preserve">Hemoglobina </w:t>
      </w:r>
      <w:proofErr w:type="spellStart"/>
      <w:r w:rsidRPr="00E02D99">
        <w:rPr>
          <w:rStyle w:val="Textoennegrita"/>
          <w:rFonts w:ascii="Arial" w:hAnsi="Arial" w:cs="Arial"/>
        </w:rPr>
        <w:t>glucosilada</w:t>
      </w:r>
      <w:proofErr w:type="spellEnd"/>
      <w:r w:rsidRPr="00E02D99">
        <w:rPr>
          <w:rStyle w:val="Textoennegrita"/>
          <w:rFonts w:ascii="Arial" w:hAnsi="Arial" w:cs="Arial"/>
        </w:rPr>
        <w:t xml:space="preserve"> (HbA1c):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lastRenderedPageBreak/>
        <w:t> </w:t>
      </w:r>
      <w:r w:rsidRPr="00E02D99">
        <w:rPr>
          <w:rFonts w:ascii="Arial" w:hAnsi="Arial" w:cs="Arial"/>
        </w:rPr>
        <w:t xml:space="preserve"> – Normal: &lt;5.7%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Prediabetes: 5.7–6.4%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Diabetes: ≥6.5%</w:t>
      </w:r>
      <w:r w:rsidRPr="00E02D99">
        <w:rPr>
          <w:rFonts w:ascii="Arial" w:hAnsi="Arial" w:cs="Arial"/>
        </w:rPr>
        <w:br/>
        <w:t>• Se evalúan además otros parámetros como el perfil lipídico, función renal (creatinina, BUN) y marcadores inflamatorios según la evaluación integral del paciente.</w:t>
      </w:r>
    </w:p>
    <w:p w14:paraId="7B09BD3B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Clínica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 xml:space="preserve">• </w:t>
      </w:r>
      <w:r w:rsidRPr="00E02D99">
        <w:rPr>
          <w:rStyle w:val="Textoennegrita"/>
          <w:rFonts w:ascii="Arial" w:hAnsi="Arial" w:cs="Arial"/>
        </w:rPr>
        <w:t>Síntomas cardinales: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Polidipsia y poliuria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Polifagia y pérdida de peso inexplicada (especialmente en diabetes tipo 1)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Fatiga, debilidad y visión borrosa</w:t>
      </w:r>
      <w:r w:rsidRPr="00E02D99">
        <w:rPr>
          <w:rFonts w:ascii="Arial" w:hAnsi="Arial" w:cs="Arial"/>
        </w:rPr>
        <w:br/>
        <w:t xml:space="preserve">• </w:t>
      </w:r>
      <w:r w:rsidRPr="00E02D99">
        <w:rPr>
          <w:rStyle w:val="Textoennegrita"/>
          <w:rFonts w:ascii="Arial" w:hAnsi="Arial" w:cs="Arial"/>
        </w:rPr>
        <w:t>Hallazgos en examen físico: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Aumento de la masa corporal o sobrepeso (en DM2)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Alteraciones vasculares periféricas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En fases avanzadas, signos de complicaciones crónicas (neuropatía, retinopatía, nefropatía)</w:t>
      </w:r>
    </w:p>
    <w:p w14:paraId="3FAD807D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Diagnóstico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>• El diagnóstico se establece mediante la combinación de la clínica y la realización de estudios de laboratorio, utilizando uno o más de los siguientes criterios: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Glucosa en ayunas ≥126 mg/dl (en dos ocasiones)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OGTT: glucosa a las 2 horas ≥200 mg/dl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HbA1c ≥6.5%</w:t>
      </w:r>
      <w:r w:rsidRPr="00E02D99">
        <w:rPr>
          <w:rFonts w:ascii="Arial" w:hAnsi="Arial" w:cs="Arial"/>
        </w:rPr>
        <w:br/>
        <w:t xml:space="preserve">• </w:t>
      </w:r>
      <w:r w:rsidRPr="00E02D99">
        <w:rPr>
          <w:rStyle w:val="Textoennegrita"/>
          <w:rFonts w:ascii="Arial" w:hAnsi="Arial" w:cs="Arial"/>
        </w:rPr>
        <w:t>Gold Standard:</w:t>
      </w:r>
      <w:r w:rsidRPr="00E02D99">
        <w:rPr>
          <w:rFonts w:ascii="Arial" w:hAnsi="Arial" w:cs="Arial"/>
        </w:rPr>
        <w:t xml:space="preserve"> La confirmación diagnóstica se basa en la medición repetida de la HbA1c y/o de la glucosa en ayunas según los criterios internacionales.</w:t>
      </w:r>
      <w:r w:rsidRPr="00E02D99">
        <w:rPr>
          <w:rFonts w:ascii="Arial" w:hAnsi="Arial" w:cs="Arial"/>
        </w:rPr>
        <w:br/>
        <w:t>• Se complementa con estudios de laboratorio para evaluar el perfil metabólico, función renal y, en algunos casos, marcadores de inflamación o disfunción endotelial.</w:t>
      </w:r>
    </w:p>
    <w:p w14:paraId="7E26FF37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lastRenderedPageBreak/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Tratamiento y Dosis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1. Modificaciones en el estilo de vida: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Dieta balanceada, ejercicio físico regular, y control del peso.</w:t>
      </w:r>
    </w:p>
    <w:p w14:paraId="3919EFF2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Style w:val="Textoennegrita"/>
          <w:rFonts w:ascii="Arial" w:hAnsi="Arial" w:cs="Arial"/>
        </w:rPr>
        <w:t>2. Terapia farmacológica: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</w:t>
      </w:r>
      <w:r w:rsidRPr="00E02D99">
        <w:rPr>
          <w:rStyle w:val="Textoennegrita"/>
          <w:rFonts w:ascii="Arial" w:hAnsi="Arial" w:cs="Arial"/>
        </w:rPr>
        <w:t>DM tipo 2: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• </w:t>
      </w:r>
      <w:r w:rsidRPr="00E02D99">
        <w:rPr>
          <w:rStyle w:val="nfasis"/>
          <w:rFonts w:ascii="Arial" w:hAnsi="Arial" w:cs="Arial"/>
        </w:rPr>
        <w:t>Primer línea:</w:t>
      </w:r>
      <w:r w:rsidRPr="00E02D99">
        <w:rPr>
          <w:rFonts w:ascii="Arial" w:hAnsi="Arial" w:cs="Arial"/>
        </w:rPr>
        <w:t xml:space="preserve"> </w:t>
      </w:r>
      <w:proofErr w:type="spellStart"/>
      <w:r w:rsidRPr="00E02D99">
        <w:rPr>
          <w:rFonts w:ascii="Arial" w:hAnsi="Arial" w:cs="Arial"/>
        </w:rPr>
        <w:t>Metformina</w:t>
      </w:r>
      <w:proofErr w:type="spellEnd"/>
      <w:r w:rsidRPr="00E02D99">
        <w:rPr>
          <w:rFonts w:ascii="Arial" w:hAnsi="Arial" w:cs="Arial"/>
        </w:rPr>
        <w:t xml:space="preserve"> (dosis inicial comúnmente de 500 mg, incrementable según tolerancia y respuesta clínica).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• Otros agentes hipoglucemiantes orales (inhibidores de SGLT2, agonistas GLP-1, </w:t>
      </w:r>
      <w:proofErr w:type="spellStart"/>
      <w:r w:rsidRPr="00E02D99">
        <w:rPr>
          <w:rFonts w:ascii="Arial" w:hAnsi="Arial" w:cs="Arial"/>
        </w:rPr>
        <w:t>sulfonilureas</w:t>
      </w:r>
      <w:proofErr w:type="spellEnd"/>
      <w:r w:rsidRPr="00E02D99">
        <w:rPr>
          <w:rFonts w:ascii="Arial" w:hAnsi="Arial" w:cs="Arial"/>
        </w:rPr>
        <w:t>, entre otros) se añaden según la situación clínica y comorbilidades.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</w:t>
      </w:r>
      <w:r w:rsidRPr="00E02D99">
        <w:rPr>
          <w:rStyle w:val="Textoennegrita"/>
          <w:rFonts w:ascii="Arial" w:hAnsi="Arial" w:cs="Arial"/>
        </w:rPr>
        <w:t>DM tipo 1 o casos refractarios de DM2: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• Insulinoterapia – Se inicia con esquemas basados en bolo </w:t>
      </w:r>
      <w:proofErr w:type="spellStart"/>
      <w:r w:rsidRPr="00E02D99">
        <w:rPr>
          <w:rFonts w:ascii="Arial" w:hAnsi="Arial" w:cs="Arial"/>
        </w:rPr>
        <w:t>preprandial</w:t>
      </w:r>
      <w:proofErr w:type="spellEnd"/>
      <w:r w:rsidRPr="00E02D99">
        <w:rPr>
          <w:rFonts w:ascii="Arial" w:hAnsi="Arial" w:cs="Arial"/>
        </w:rPr>
        <w:t xml:space="preserve"> y dosis basal; la dosis se individualiza considerando peso, nivel glucémico y respuesta terapéutica.</w:t>
      </w:r>
    </w:p>
    <w:p w14:paraId="3316E045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Style w:val="Textoennegrita"/>
          <w:rFonts w:ascii="Arial" w:hAnsi="Arial" w:cs="Arial"/>
        </w:rPr>
        <w:t>3. Monitoreo terapéutico:</w:t>
      </w:r>
      <w:r w:rsidRPr="00E02D99">
        <w:rPr>
          <w:rFonts w:ascii="Arial" w:hAnsi="Arial" w:cs="Arial"/>
        </w:rPr>
        <w:br/>
      </w:r>
      <w:r w:rsidRPr="00E02D99">
        <w:rPr>
          <w:rFonts w:ascii="Arial" w:hAnsi="Arial" w:cs="Arial"/>
        </w:rPr>
        <w:t> </w:t>
      </w:r>
      <w:r w:rsidRPr="00E02D99">
        <w:rPr>
          <w:rFonts w:ascii="Arial" w:hAnsi="Arial" w:cs="Arial"/>
        </w:rPr>
        <w:t xml:space="preserve"> – Evaluación periódica de la HbA1c (cada 3 a 6 meses) y autocontrol de la glucemia, para ajustar el tratamiento y reducir el riesgo de complicaciones.</w:t>
      </w:r>
    </w:p>
    <w:p w14:paraId="0FA68A3D" w14:textId="77777777" w:rsidR="00C77016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Factores de Riesgo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 xml:space="preserve">• Factores modificables: obesidad, sedentarismo, alimentación inadecuada, tabaquismo y </w:t>
      </w:r>
      <w:proofErr w:type="spellStart"/>
      <w:r w:rsidRPr="00E02D99">
        <w:rPr>
          <w:rFonts w:ascii="Arial" w:hAnsi="Arial" w:cs="Arial"/>
        </w:rPr>
        <w:t>dislipidemia</w:t>
      </w:r>
      <w:proofErr w:type="spellEnd"/>
      <w:r w:rsidRPr="00E02D99">
        <w:rPr>
          <w:rFonts w:ascii="Arial" w:hAnsi="Arial" w:cs="Arial"/>
        </w:rPr>
        <w:t>.</w:t>
      </w:r>
      <w:r w:rsidRPr="00E02D99">
        <w:rPr>
          <w:rFonts w:ascii="Arial" w:hAnsi="Arial" w:cs="Arial"/>
        </w:rPr>
        <w:br/>
        <w:t>• Factores no modificables: edad avanzada, antecedentes familiares de diabetes, antecedentes étnicos y predisposición genética.</w:t>
      </w:r>
      <w:r w:rsidRPr="00E02D99">
        <w:rPr>
          <w:rFonts w:ascii="Arial" w:hAnsi="Arial" w:cs="Arial"/>
        </w:rPr>
        <w:br/>
        <w:t xml:space="preserve">• Se asocia con mayor riesgo de complicaciones cardiovasculares, renales, oculares y </w:t>
      </w:r>
      <w:proofErr w:type="spellStart"/>
      <w:r w:rsidRPr="00E02D99">
        <w:rPr>
          <w:rFonts w:ascii="Arial" w:hAnsi="Arial" w:cs="Arial"/>
        </w:rPr>
        <w:t>neuropáticas</w:t>
      </w:r>
      <w:proofErr w:type="spellEnd"/>
      <w:r w:rsidRPr="00E02D99">
        <w:rPr>
          <w:rFonts w:ascii="Arial" w:hAnsi="Arial" w:cs="Arial"/>
        </w:rPr>
        <w:t>.</w:t>
      </w:r>
    </w:p>
    <w:p w14:paraId="0D9E36A1" w14:textId="77777777" w:rsidR="0051336A" w:rsidRPr="00E02D99" w:rsidRDefault="0051336A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</w:p>
    <w:p w14:paraId="03121178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lastRenderedPageBreak/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Estudios de Laboratorio y Gabinete (Gold Standard)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 xml:space="preserve">• </w:t>
      </w:r>
      <w:r w:rsidRPr="00E02D99">
        <w:rPr>
          <w:rStyle w:val="Textoennegrita"/>
          <w:rFonts w:ascii="Arial" w:hAnsi="Arial" w:cs="Arial"/>
        </w:rPr>
        <w:t>Medición de glucosa en ayunas, OGTT y HbA1c</w:t>
      </w:r>
      <w:r w:rsidRPr="00E02D99">
        <w:rPr>
          <w:rFonts w:ascii="Arial" w:hAnsi="Arial" w:cs="Arial"/>
        </w:rPr>
        <w:t xml:space="preserve"> son fundamentales para el diagnóstico y seguimiento.</w:t>
      </w:r>
      <w:r w:rsidRPr="00E02D99">
        <w:rPr>
          <w:rFonts w:ascii="Arial" w:hAnsi="Arial" w:cs="Arial"/>
        </w:rPr>
        <w:br/>
        <w:t xml:space="preserve">• Se complementa con estudios para evaluar el perfil lipídico, función renal (creatinina, </w:t>
      </w:r>
      <w:proofErr w:type="spellStart"/>
      <w:r w:rsidRPr="00E02D99">
        <w:rPr>
          <w:rFonts w:ascii="Arial" w:hAnsi="Arial" w:cs="Arial"/>
        </w:rPr>
        <w:t>microalbuminuria</w:t>
      </w:r>
      <w:proofErr w:type="spellEnd"/>
      <w:r w:rsidRPr="00E02D99">
        <w:rPr>
          <w:rFonts w:ascii="Arial" w:hAnsi="Arial" w:cs="Arial"/>
        </w:rPr>
        <w:t>), y, en algunos casos, pruebas de función hepática y marcadores de inflamación.</w:t>
      </w:r>
      <w:r w:rsidRPr="00E02D99">
        <w:rPr>
          <w:rFonts w:ascii="Arial" w:hAnsi="Arial" w:cs="Arial"/>
        </w:rPr>
        <w:br/>
        <w:t>• La HbA1c se considera el estándar de oro para evaluar el control glucémico a largo plazo.</w:t>
      </w:r>
    </w:p>
    <w:p w14:paraId="6734CAC2" w14:textId="7777777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  <w:r w:rsidRPr="00E02D99">
        <w:rPr>
          <w:rFonts w:ascii="Arial" w:hAnsi="Arial" w:cs="Arial"/>
        </w:rPr>
        <w:t>─────────────────────────────</w:t>
      </w:r>
      <w:r w:rsidRPr="00E02D99">
        <w:rPr>
          <w:rFonts w:ascii="Arial" w:hAnsi="Arial" w:cs="Arial"/>
        </w:rPr>
        <w:br/>
      </w:r>
      <w:r w:rsidRPr="00E02D99">
        <w:rPr>
          <w:rStyle w:val="Textoennegrita"/>
          <w:rFonts w:ascii="Arial" w:hAnsi="Arial" w:cs="Arial"/>
        </w:rPr>
        <w:t>Notas Adicionales</w:t>
      </w:r>
      <w:r w:rsidRPr="00E02D99">
        <w:rPr>
          <w:rFonts w:ascii="Arial" w:hAnsi="Arial" w:cs="Arial"/>
        </w:rPr>
        <w:br/>
        <w:t>─────────────────────────────</w:t>
      </w:r>
      <w:r w:rsidRPr="00E02D99">
        <w:rPr>
          <w:rFonts w:ascii="Arial" w:hAnsi="Arial" w:cs="Arial"/>
        </w:rPr>
        <w:br/>
        <w:t>• La estrategia terapéutica se basa en un enfoque integral para evitar complicaciones a corto y largo plazo.</w:t>
      </w:r>
      <w:r w:rsidRPr="00E02D99">
        <w:rPr>
          <w:rFonts w:ascii="Arial" w:hAnsi="Arial" w:cs="Arial"/>
        </w:rPr>
        <w:br/>
        <w:t>• La decisión terapéutica se adapta a las características del paciente, considerando factores como comorbilidades, riesgo cardiovascular y adherencia al tratamiento.</w:t>
      </w:r>
      <w:r w:rsidRPr="00E02D99">
        <w:rPr>
          <w:rFonts w:ascii="Arial" w:hAnsi="Arial" w:cs="Arial"/>
        </w:rPr>
        <w:br/>
        <w:t>• Las guías enfatizan la importancia del autocontrol, la educación para el autocuidado y la coordinación multidisciplinaria.</w:t>
      </w:r>
    </w:p>
    <w:p w14:paraId="6EB32B44" w14:textId="2BC01397" w:rsidR="00C77016" w:rsidRPr="00E02D99" w:rsidRDefault="00C77016" w:rsidP="0051336A">
      <w:pPr>
        <w:pStyle w:val="NormalWeb"/>
        <w:spacing w:after="0" w:afterAutospacing="0"/>
        <w:divId w:val="1442605202"/>
        <w:rPr>
          <w:rFonts w:ascii="Arial" w:hAnsi="Arial" w:cs="Arial"/>
        </w:rPr>
      </w:pPr>
    </w:p>
    <w:p w14:paraId="00C86B95" w14:textId="77777777" w:rsidR="00E83C9B" w:rsidRPr="00E02D99" w:rsidRDefault="00E83C9B" w:rsidP="0051336A">
      <w:pPr>
        <w:pStyle w:val="NormalWeb"/>
        <w:spacing w:after="0" w:afterAutospacing="0"/>
        <w:divId w:val="524905077"/>
        <w:rPr>
          <w:rFonts w:ascii="Arial" w:hAnsi="Arial" w:cs="Arial"/>
        </w:rPr>
      </w:pPr>
    </w:p>
    <w:p w14:paraId="70C3CC86" w14:textId="77777777" w:rsidR="009B7DDD" w:rsidRPr="00E02D99" w:rsidRDefault="009B7DDD" w:rsidP="0051336A">
      <w:pPr>
        <w:pStyle w:val="NormalWeb"/>
        <w:spacing w:after="0" w:afterAutospacing="0"/>
        <w:rPr>
          <w:rFonts w:ascii="Arial" w:hAnsi="Arial" w:cs="Arial"/>
        </w:rPr>
      </w:pPr>
    </w:p>
    <w:sectPr w:rsidR="009B7DDD" w:rsidRPr="00E02D99" w:rsidSect="004F231B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C0"/>
    <w:rsid w:val="000B2315"/>
    <w:rsid w:val="00367DB6"/>
    <w:rsid w:val="00407B2D"/>
    <w:rsid w:val="004F231B"/>
    <w:rsid w:val="0051336A"/>
    <w:rsid w:val="00563599"/>
    <w:rsid w:val="0081154F"/>
    <w:rsid w:val="009B7DDD"/>
    <w:rsid w:val="00A52048"/>
    <w:rsid w:val="00B12635"/>
    <w:rsid w:val="00C35BC0"/>
    <w:rsid w:val="00C74DC4"/>
    <w:rsid w:val="00C77016"/>
    <w:rsid w:val="00D47D1E"/>
    <w:rsid w:val="00E02D99"/>
    <w:rsid w:val="00E710BC"/>
    <w:rsid w:val="00E83C9B"/>
    <w:rsid w:val="00F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FC04F"/>
  <w15:chartTrackingRefBased/>
  <w15:docId w15:val="{2C2EBCCC-037B-A345-AE4D-939A5BD1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5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5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5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5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5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5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5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5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5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5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5B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5B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5B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5B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5B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5B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5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5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5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5B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5B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5B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5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5B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5B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5BC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C35BC0"/>
    <w:rPr>
      <w:b/>
      <w:bCs/>
    </w:rPr>
  </w:style>
  <w:style w:type="character" w:styleId="nfasis">
    <w:name w:val="Emphasis"/>
    <w:basedOn w:val="Fuentedeprrafopredeter"/>
    <w:uiPriority w:val="20"/>
    <w:qFormat/>
    <w:rsid w:val="00C77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2538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18</cp:revision>
  <dcterms:created xsi:type="dcterms:W3CDTF">2025-04-10T07:37:00Z</dcterms:created>
  <dcterms:modified xsi:type="dcterms:W3CDTF">2025-04-10T07:56:00Z</dcterms:modified>
</cp:coreProperties>
</file>