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8528" w14:textId="77777777" w:rsidR="005A7584" w:rsidRDefault="005A7584" w:rsidP="00F87F54">
      <w:pPr>
        <w:pStyle w:val="Textoindependiente"/>
        <w:jc w:val="both"/>
        <w:rPr>
          <w:rFonts w:ascii="Times New Roman"/>
          <w:sz w:val="20"/>
        </w:rPr>
      </w:pPr>
    </w:p>
    <w:p w14:paraId="13FA8529" w14:textId="77777777" w:rsidR="005A7584" w:rsidRDefault="005A7584" w:rsidP="00F87F54">
      <w:pPr>
        <w:pStyle w:val="Textoindependiente"/>
        <w:spacing w:before="6"/>
        <w:jc w:val="both"/>
        <w:rPr>
          <w:rFonts w:ascii="Times New Roman"/>
          <w:sz w:val="29"/>
        </w:rPr>
      </w:pPr>
    </w:p>
    <w:p w14:paraId="13FA852A" w14:textId="77777777" w:rsidR="005A7584" w:rsidRDefault="008B2978" w:rsidP="00F87F54">
      <w:pPr>
        <w:pStyle w:val="Textoindependiente"/>
        <w:ind w:left="699"/>
        <w:jc w:val="both"/>
        <w:rPr>
          <w:rFonts w:ascii="Times New Roman"/>
          <w:sz w:val="20"/>
        </w:rPr>
      </w:pPr>
      <w:r>
        <w:rPr>
          <w:rFonts w:ascii="Times New Roman"/>
          <w:noProof/>
          <w:sz w:val="20"/>
          <w:lang w:val="es-MX" w:eastAsia="es-MX"/>
        </w:rPr>
        <w:drawing>
          <wp:inline distT="0" distB="0" distL="0" distR="0" wp14:anchorId="13FA85F4" wp14:editId="13FA85F5">
            <wp:extent cx="5235770" cy="2422398"/>
            <wp:effectExtent l="0" t="0" r="0" b="0"/>
            <wp:docPr id="1" name="image1.jpeg" descr="A picture containing draw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35770" cy="2422398"/>
                    </a:xfrm>
                    <a:prstGeom prst="rect">
                      <a:avLst/>
                    </a:prstGeom>
                  </pic:spPr>
                </pic:pic>
              </a:graphicData>
            </a:graphic>
          </wp:inline>
        </w:drawing>
      </w:r>
    </w:p>
    <w:p w14:paraId="13FA852B" w14:textId="77777777" w:rsidR="005A7584" w:rsidRDefault="005A7584" w:rsidP="00F87F54">
      <w:pPr>
        <w:pStyle w:val="Textoindependiente"/>
        <w:jc w:val="both"/>
        <w:rPr>
          <w:rFonts w:ascii="Times New Roman"/>
          <w:sz w:val="20"/>
        </w:rPr>
      </w:pPr>
    </w:p>
    <w:p w14:paraId="13FA852C" w14:textId="77777777" w:rsidR="005A7584" w:rsidRDefault="005A7584" w:rsidP="00F87F54">
      <w:pPr>
        <w:pStyle w:val="Textoindependiente"/>
        <w:jc w:val="both"/>
        <w:rPr>
          <w:rFonts w:ascii="Times New Roman"/>
          <w:sz w:val="20"/>
        </w:rPr>
      </w:pPr>
    </w:p>
    <w:p w14:paraId="13FA852D" w14:textId="77777777" w:rsidR="005A7584" w:rsidRDefault="005A7584" w:rsidP="00F87F54">
      <w:pPr>
        <w:pStyle w:val="Textoindependiente"/>
        <w:spacing w:before="6"/>
        <w:jc w:val="both"/>
        <w:rPr>
          <w:rFonts w:ascii="Times New Roman"/>
          <w:sz w:val="20"/>
        </w:rPr>
      </w:pPr>
    </w:p>
    <w:p w14:paraId="13FA852E" w14:textId="77777777" w:rsidR="005A7584" w:rsidRDefault="008B2978" w:rsidP="00F87F54">
      <w:pPr>
        <w:pStyle w:val="Ttulo"/>
        <w:jc w:val="both"/>
      </w:pPr>
      <w:r>
        <w:rPr>
          <w:color w:val="1F4E79"/>
        </w:rPr>
        <w:t>Proyecto de</w:t>
      </w:r>
      <w:r>
        <w:rPr>
          <w:color w:val="1F4E79"/>
          <w:spacing w:val="-1"/>
        </w:rPr>
        <w:t xml:space="preserve"> </w:t>
      </w:r>
      <w:r>
        <w:rPr>
          <w:color w:val="1F4E79"/>
        </w:rPr>
        <w:t>Investigación</w:t>
      </w:r>
    </w:p>
    <w:p w14:paraId="13FA852F" w14:textId="77777777" w:rsidR="005A7584" w:rsidRDefault="005A7584" w:rsidP="00F87F54">
      <w:pPr>
        <w:pStyle w:val="Textoindependiente"/>
        <w:jc w:val="both"/>
        <w:rPr>
          <w:rFonts w:ascii="Trebuchet MS"/>
          <w:b/>
          <w:sz w:val="20"/>
        </w:rPr>
      </w:pPr>
    </w:p>
    <w:p w14:paraId="13FA8530" w14:textId="77777777" w:rsidR="005A7584" w:rsidRDefault="005A7584" w:rsidP="00F87F54">
      <w:pPr>
        <w:pStyle w:val="Textoindependiente"/>
        <w:jc w:val="both"/>
        <w:rPr>
          <w:rFonts w:ascii="Trebuchet MS"/>
          <w:b/>
          <w:sz w:val="20"/>
        </w:rPr>
      </w:pPr>
    </w:p>
    <w:p w14:paraId="13FA8531" w14:textId="77777777" w:rsidR="005A7584" w:rsidRDefault="005A7584" w:rsidP="00F87F54">
      <w:pPr>
        <w:pStyle w:val="Textoindependiente"/>
        <w:spacing w:before="6"/>
        <w:jc w:val="both"/>
        <w:rPr>
          <w:rFonts w:ascii="Trebuchet MS"/>
          <w:b/>
        </w:rPr>
      </w:pPr>
    </w:p>
    <w:p w14:paraId="13FA8532" w14:textId="77777777" w:rsidR="005A7584" w:rsidRDefault="008B2978" w:rsidP="00F87F54">
      <w:pPr>
        <w:spacing w:before="96"/>
        <w:ind w:left="110"/>
        <w:jc w:val="both"/>
        <w:rPr>
          <w:rFonts w:ascii="Trebuchet MS" w:hAnsi="Trebuchet MS"/>
          <w:i/>
          <w:sz w:val="32"/>
        </w:rPr>
      </w:pPr>
      <w:r>
        <w:rPr>
          <w:rFonts w:ascii="Trebuchet MS" w:hAnsi="Trebuchet MS"/>
          <w:b/>
          <w:i/>
          <w:color w:val="121E31"/>
          <w:w w:val="85"/>
          <w:sz w:val="32"/>
        </w:rPr>
        <w:t>Nombre</w:t>
      </w:r>
      <w:r>
        <w:rPr>
          <w:rFonts w:ascii="Trebuchet MS" w:hAnsi="Trebuchet MS"/>
          <w:b/>
          <w:i/>
          <w:color w:val="121E31"/>
          <w:spacing w:val="27"/>
          <w:w w:val="85"/>
          <w:sz w:val="32"/>
        </w:rPr>
        <w:t xml:space="preserve"> </w:t>
      </w:r>
      <w:r>
        <w:rPr>
          <w:rFonts w:ascii="Trebuchet MS" w:hAnsi="Trebuchet MS"/>
          <w:b/>
          <w:i/>
          <w:color w:val="121E31"/>
          <w:w w:val="85"/>
          <w:sz w:val="32"/>
        </w:rPr>
        <w:t>del</w:t>
      </w:r>
      <w:r>
        <w:rPr>
          <w:rFonts w:ascii="Trebuchet MS" w:hAnsi="Trebuchet MS"/>
          <w:b/>
          <w:i/>
          <w:color w:val="121E31"/>
          <w:spacing w:val="27"/>
          <w:w w:val="85"/>
          <w:sz w:val="32"/>
        </w:rPr>
        <w:t xml:space="preserve"> </w:t>
      </w:r>
      <w:r>
        <w:rPr>
          <w:rFonts w:ascii="Trebuchet MS" w:hAnsi="Trebuchet MS"/>
          <w:b/>
          <w:i/>
          <w:color w:val="121E31"/>
          <w:w w:val="85"/>
          <w:sz w:val="32"/>
        </w:rPr>
        <w:t>Alumno:</w:t>
      </w:r>
      <w:r>
        <w:rPr>
          <w:rFonts w:ascii="Trebuchet MS" w:hAnsi="Trebuchet MS"/>
          <w:b/>
          <w:i/>
          <w:color w:val="121E31"/>
          <w:spacing w:val="30"/>
          <w:w w:val="85"/>
          <w:sz w:val="32"/>
        </w:rPr>
        <w:t xml:space="preserve"> </w:t>
      </w:r>
      <w:r>
        <w:rPr>
          <w:rFonts w:ascii="Trebuchet MS" w:hAnsi="Trebuchet MS"/>
          <w:i/>
          <w:color w:val="121E31"/>
          <w:w w:val="85"/>
          <w:sz w:val="32"/>
        </w:rPr>
        <w:t>Clara</w:t>
      </w:r>
      <w:r>
        <w:rPr>
          <w:rFonts w:ascii="Trebuchet MS" w:hAnsi="Trebuchet MS"/>
          <w:i/>
          <w:color w:val="121E31"/>
          <w:spacing w:val="27"/>
          <w:w w:val="85"/>
          <w:sz w:val="32"/>
        </w:rPr>
        <w:t xml:space="preserve"> </w:t>
      </w:r>
      <w:r>
        <w:rPr>
          <w:rFonts w:ascii="Trebuchet MS" w:hAnsi="Trebuchet MS"/>
          <w:i/>
          <w:color w:val="121E31"/>
          <w:w w:val="85"/>
          <w:sz w:val="32"/>
        </w:rPr>
        <w:t>Elisa</w:t>
      </w:r>
      <w:r>
        <w:rPr>
          <w:rFonts w:ascii="Trebuchet MS" w:hAnsi="Trebuchet MS"/>
          <w:i/>
          <w:color w:val="121E31"/>
          <w:spacing w:val="26"/>
          <w:w w:val="85"/>
          <w:sz w:val="32"/>
        </w:rPr>
        <w:t xml:space="preserve"> </w:t>
      </w:r>
      <w:r>
        <w:rPr>
          <w:rFonts w:ascii="Trebuchet MS" w:hAnsi="Trebuchet MS"/>
          <w:i/>
          <w:color w:val="121E31"/>
          <w:w w:val="85"/>
          <w:sz w:val="32"/>
        </w:rPr>
        <w:t>Encino</w:t>
      </w:r>
      <w:r>
        <w:rPr>
          <w:rFonts w:ascii="Trebuchet MS" w:hAnsi="Trebuchet MS"/>
          <w:i/>
          <w:color w:val="121E31"/>
          <w:spacing w:val="26"/>
          <w:w w:val="85"/>
          <w:sz w:val="32"/>
        </w:rPr>
        <w:t xml:space="preserve"> </w:t>
      </w:r>
      <w:r>
        <w:rPr>
          <w:rFonts w:ascii="Trebuchet MS" w:hAnsi="Trebuchet MS"/>
          <w:i/>
          <w:color w:val="121E31"/>
          <w:w w:val="85"/>
          <w:sz w:val="32"/>
        </w:rPr>
        <w:t>Vázquez</w:t>
      </w:r>
      <w:r>
        <w:rPr>
          <w:rFonts w:ascii="Trebuchet MS" w:hAnsi="Trebuchet MS"/>
          <w:i/>
          <w:color w:val="121E31"/>
          <w:spacing w:val="30"/>
          <w:w w:val="85"/>
          <w:sz w:val="32"/>
        </w:rPr>
        <w:t xml:space="preserve"> </w:t>
      </w:r>
      <w:r>
        <w:rPr>
          <w:rFonts w:ascii="Trebuchet MS" w:hAnsi="Trebuchet MS"/>
          <w:i/>
          <w:color w:val="121E31"/>
          <w:w w:val="85"/>
          <w:sz w:val="32"/>
        </w:rPr>
        <w:t>–</w:t>
      </w:r>
      <w:r>
        <w:rPr>
          <w:rFonts w:ascii="Trebuchet MS" w:hAnsi="Trebuchet MS"/>
          <w:i/>
          <w:color w:val="121E31"/>
          <w:spacing w:val="27"/>
          <w:w w:val="85"/>
          <w:sz w:val="32"/>
        </w:rPr>
        <w:t xml:space="preserve"> </w:t>
      </w:r>
      <w:r>
        <w:rPr>
          <w:rFonts w:ascii="Trebuchet MS" w:hAnsi="Trebuchet MS"/>
          <w:i/>
          <w:color w:val="121E31"/>
          <w:w w:val="85"/>
          <w:sz w:val="32"/>
        </w:rPr>
        <w:t>Jaqueline</w:t>
      </w:r>
      <w:r>
        <w:rPr>
          <w:rFonts w:ascii="Trebuchet MS" w:hAnsi="Trebuchet MS"/>
          <w:i/>
          <w:color w:val="121E31"/>
          <w:spacing w:val="28"/>
          <w:w w:val="85"/>
          <w:sz w:val="32"/>
        </w:rPr>
        <w:t xml:space="preserve"> </w:t>
      </w:r>
      <w:r>
        <w:rPr>
          <w:rFonts w:ascii="Trebuchet MS" w:hAnsi="Trebuchet MS"/>
          <w:i/>
          <w:color w:val="121E31"/>
          <w:w w:val="85"/>
          <w:sz w:val="32"/>
        </w:rPr>
        <w:t>Monserrat</w:t>
      </w:r>
      <w:r>
        <w:rPr>
          <w:rFonts w:ascii="Trebuchet MS" w:hAnsi="Trebuchet MS"/>
          <w:i/>
          <w:color w:val="121E31"/>
          <w:spacing w:val="26"/>
          <w:w w:val="85"/>
          <w:sz w:val="32"/>
        </w:rPr>
        <w:t xml:space="preserve"> </w:t>
      </w:r>
      <w:r>
        <w:rPr>
          <w:rFonts w:ascii="Trebuchet MS" w:hAnsi="Trebuchet MS"/>
          <w:i/>
          <w:color w:val="121E31"/>
          <w:w w:val="85"/>
          <w:sz w:val="32"/>
        </w:rPr>
        <w:t>Selvas</w:t>
      </w:r>
      <w:r>
        <w:rPr>
          <w:rFonts w:ascii="Trebuchet MS" w:hAnsi="Trebuchet MS"/>
          <w:i/>
          <w:color w:val="121E31"/>
          <w:spacing w:val="-79"/>
          <w:w w:val="85"/>
          <w:sz w:val="32"/>
        </w:rPr>
        <w:t xml:space="preserve"> </w:t>
      </w:r>
      <w:r>
        <w:rPr>
          <w:rFonts w:ascii="Trebuchet MS" w:hAnsi="Trebuchet MS"/>
          <w:i/>
          <w:color w:val="121E31"/>
          <w:sz w:val="32"/>
        </w:rPr>
        <w:t>Perez</w:t>
      </w:r>
    </w:p>
    <w:p w14:paraId="13FA8533" w14:textId="77777777" w:rsidR="005A7584" w:rsidRDefault="008B2978" w:rsidP="00F87F54">
      <w:pPr>
        <w:spacing w:before="158"/>
        <w:ind w:left="110"/>
        <w:jc w:val="both"/>
        <w:rPr>
          <w:rFonts w:ascii="Trebuchet MS" w:hAnsi="Trebuchet MS"/>
          <w:i/>
          <w:sz w:val="32"/>
        </w:rPr>
      </w:pPr>
      <w:r>
        <w:rPr>
          <w:rFonts w:ascii="Trebuchet MS" w:hAnsi="Trebuchet MS"/>
          <w:b/>
          <w:i/>
          <w:color w:val="121E31"/>
          <w:w w:val="85"/>
          <w:sz w:val="32"/>
        </w:rPr>
        <w:t>Nombre</w:t>
      </w:r>
      <w:r>
        <w:rPr>
          <w:rFonts w:ascii="Trebuchet MS" w:hAnsi="Trebuchet MS"/>
          <w:b/>
          <w:i/>
          <w:color w:val="121E31"/>
          <w:spacing w:val="25"/>
          <w:w w:val="85"/>
          <w:sz w:val="32"/>
        </w:rPr>
        <w:t xml:space="preserve"> </w:t>
      </w:r>
      <w:r>
        <w:rPr>
          <w:rFonts w:ascii="Trebuchet MS" w:hAnsi="Trebuchet MS"/>
          <w:b/>
          <w:i/>
          <w:color w:val="121E31"/>
          <w:w w:val="85"/>
          <w:sz w:val="32"/>
        </w:rPr>
        <w:t>del</w:t>
      </w:r>
      <w:r>
        <w:rPr>
          <w:rFonts w:ascii="Trebuchet MS" w:hAnsi="Trebuchet MS"/>
          <w:b/>
          <w:i/>
          <w:color w:val="121E31"/>
          <w:spacing w:val="26"/>
          <w:w w:val="85"/>
          <w:sz w:val="32"/>
        </w:rPr>
        <w:t xml:space="preserve"> </w:t>
      </w:r>
      <w:r>
        <w:rPr>
          <w:rFonts w:ascii="Trebuchet MS" w:hAnsi="Trebuchet MS"/>
          <w:b/>
          <w:i/>
          <w:color w:val="121E31"/>
          <w:w w:val="85"/>
          <w:sz w:val="32"/>
        </w:rPr>
        <w:t>tema:</w:t>
      </w:r>
      <w:r>
        <w:rPr>
          <w:rFonts w:ascii="Trebuchet MS" w:hAnsi="Trebuchet MS"/>
          <w:b/>
          <w:i/>
          <w:color w:val="121E31"/>
          <w:spacing w:val="27"/>
          <w:w w:val="85"/>
          <w:sz w:val="32"/>
        </w:rPr>
        <w:t xml:space="preserve"> </w:t>
      </w:r>
      <w:r>
        <w:rPr>
          <w:rFonts w:ascii="Trebuchet MS" w:hAnsi="Trebuchet MS"/>
          <w:i/>
          <w:color w:val="121E31"/>
          <w:w w:val="85"/>
          <w:sz w:val="32"/>
        </w:rPr>
        <w:t>Síndrome</w:t>
      </w:r>
      <w:r>
        <w:rPr>
          <w:rFonts w:ascii="Trebuchet MS" w:hAnsi="Trebuchet MS"/>
          <w:i/>
          <w:color w:val="121E31"/>
          <w:spacing w:val="26"/>
          <w:w w:val="85"/>
          <w:sz w:val="32"/>
        </w:rPr>
        <w:t xml:space="preserve"> </w:t>
      </w:r>
      <w:r>
        <w:rPr>
          <w:rFonts w:ascii="Trebuchet MS" w:hAnsi="Trebuchet MS"/>
          <w:i/>
          <w:color w:val="121E31"/>
          <w:w w:val="85"/>
          <w:sz w:val="32"/>
        </w:rPr>
        <w:t>de</w:t>
      </w:r>
      <w:r>
        <w:rPr>
          <w:rFonts w:ascii="Trebuchet MS" w:hAnsi="Trebuchet MS"/>
          <w:i/>
          <w:color w:val="121E31"/>
          <w:spacing w:val="24"/>
          <w:w w:val="85"/>
          <w:sz w:val="32"/>
        </w:rPr>
        <w:t xml:space="preserve"> </w:t>
      </w:r>
      <w:r>
        <w:rPr>
          <w:rFonts w:ascii="Trebuchet MS" w:hAnsi="Trebuchet MS"/>
          <w:i/>
          <w:color w:val="121E31"/>
          <w:w w:val="85"/>
          <w:sz w:val="32"/>
        </w:rPr>
        <w:t>Ovario</w:t>
      </w:r>
      <w:r>
        <w:rPr>
          <w:rFonts w:ascii="Trebuchet MS" w:hAnsi="Trebuchet MS"/>
          <w:i/>
          <w:color w:val="121E31"/>
          <w:spacing w:val="26"/>
          <w:w w:val="85"/>
          <w:sz w:val="32"/>
        </w:rPr>
        <w:t xml:space="preserve"> </w:t>
      </w:r>
      <w:r>
        <w:rPr>
          <w:rFonts w:ascii="Trebuchet MS" w:hAnsi="Trebuchet MS"/>
          <w:i/>
          <w:color w:val="121E31"/>
          <w:w w:val="85"/>
          <w:sz w:val="32"/>
        </w:rPr>
        <w:t>Poliquístico</w:t>
      </w:r>
      <w:r>
        <w:rPr>
          <w:rFonts w:ascii="Trebuchet MS" w:hAnsi="Trebuchet MS"/>
          <w:i/>
          <w:color w:val="121E31"/>
          <w:spacing w:val="25"/>
          <w:w w:val="85"/>
          <w:sz w:val="32"/>
        </w:rPr>
        <w:t xml:space="preserve"> </w:t>
      </w:r>
      <w:r>
        <w:rPr>
          <w:rFonts w:ascii="Trebuchet MS" w:hAnsi="Trebuchet MS"/>
          <w:i/>
          <w:color w:val="121E31"/>
          <w:w w:val="85"/>
          <w:sz w:val="32"/>
        </w:rPr>
        <w:t>(</w:t>
      </w:r>
      <w:r>
        <w:rPr>
          <w:rFonts w:ascii="Trebuchet MS" w:hAnsi="Trebuchet MS"/>
          <w:b/>
          <w:i/>
          <w:color w:val="121E31"/>
          <w:w w:val="85"/>
          <w:sz w:val="32"/>
        </w:rPr>
        <w:t>SOP</w:t>
      </w:r>
      <w:r>
        <w:rPr>
          <w:rFonts w:ascii="Trebuchet MS" w:hAnsi="Trebuchet MS"/>
          <w:i/>
          <w:color w:val="121E31"/>
          <w:w w:val="85"/>
          <w:sz w:val="32"/>
        </w:rPr>
        <w:t>)</w:t>
      </w:r>
    </w:p>
    <w:p w14:paraId="13FA8534" w14:textId="77777777" w:rsidR="005A7584" w:rsidRDefault="008B2978" w:rsidP="00F87F54">
      <w:pPr>
        <w:spacing w:before="190"/>
        <w:ind w:left="110"/>
        <w:jc w:val="both"/>
        <w:rPr>
          <w:rFonts w:ascii="Trebuchet MS"/>
          <w:i/>
          <w:sz w:val="32"/>
        </w:rPr>
      </w:pPr>
      <w:r>
        <w:rPr>
          <w:rFonts w:ascii="Trebuchet MS"/>
          <w:b/>
          <w:i/>
          <w:color w:val="121E31"/>
          <w:w w:val="90"/>
          <w:sz w:val="32"/>
        </w:rPr>
        <w:t>Parcial:</w:t>
      </w:r>
      <w:r>
        <w:rPr>
          <w:rFonts w:ascii="Trebuchet MS"/>
          <w:b/>
          <w:i/>
          <w:color w:val="121E31"/>
          <w:spacing w:val="-9"/>
          <w:w w:val="90"/>
          <w:sz w:val="32"/>
        </w:rPr>
        <w:t xml:space="preserve"> </w:t>
      </w:r>
      <w:r>
        <w:rPr>
          <w:rFonts w:ascii="Trebuchet MS"/>
          <w:i/>
          <w:color w:val="121E31"/>
          <w:w w:val="90"/>
          <w:sz w:val="32"/>
        </w:rPr>
        <w:t>I</w:t>
      </w:r>
    </w:p>
    <w:p w14:paraId="13FA8535" w14:textId="77777777" w:rsidR="005A7584" w:rsidRDefault="008B2978" w:rsidP="00F87F54">
      <w:pPr>
        <w:spacing w:before="187"/>
        <w:ind w:left="110"/>
        <w:jc w:val="both"/>
        <w:rPr>
          <w:rFonts w:ascii="Trebuchet MS" w:hAnsi="Trebuchet MS"/>
          <w:i/>
          <w:sz w:val="32"/>
        </w:rPr>
      </w:pPr>
      <w:r>
        <w:rPr>
          <w:rFonts w:ascii="Trebuchet MS" w:hAnsi="Trebuchet MS"/>
          <w:b/>
          <w:i/>
          <w:color w:val="121E31"/>
          <w:w w:val="90"/>
          <w:sz w:val="32"/>
        </w:rPr>
        <w:t>Nombre</w:t>
      </w:r>
      <w:r>
        <w:rPr>
          <w:rFonts w:ascii="Trebuchet MS" w:hAnsi="Trebuchet MS"/>
          <w:b/>
          <w:i/>
          <w:color w:val="121E31"/>
          <w:spacing w:val="-12"/>
          <w:w w:val="90"/>
          <w:sz w:val="32"/>
        </w:rPr>
        <w:t xml:space="preserve"> </w:t>
      </w:r>
      <w:r>
        <w:rPr>
          <w:rFonts w:ascii="Trebuchet MS" w:hAnsi="Trebuchet MS"/>
          <w:b/>
          <w:i/>
          <w:color w:val="121E31"/>
          <w:w w:val="90"/>
          <w:sz w:val="32"/>
        </w:rPr>
        <w:t>de</w:t>
      </w:r>
      <w:r>
        <w:rPr>
          <w:rFonts w:ascii="Trebuchet MS" w:hAnsi="Trebuchet MS"/>
          <w:b/>
          <w:i/>
          <w:color w:val="121E31"/>
          <w:spacing w:val="-12"/>
          <w:w w:val="90"/>
          <w:sz w:val="32"/>
        </w:rPr>
        <w:t xml:space="preserve"> </w:t>
      </w:r>
      <w:r>
        <w:rPr>
          <w:rFonts w:ascii="Trebuchet MS" w:hAnsi="Trebuchet MS"/>
          <w:b/>
          <w:i/>
          <w:color w:val="121E31"/>
          <w:w w:val="90"/>
          <w:sz w:val="32"/>
        </w:rPr>
        <w:t>la</w:t>
      </w:r>
      <w:r>
        <w:rPr>
          <w:rFonts w:ascii="Trebuchet MS" w:hAnsi="Trebuchet MS"/>
          <w:b/>
          <w:i/>
          <w:color w:val="121E31"/>
          <w:spacing w:val="-13"/>
          <w:w w:val="90"/>
          <w:sz w:val="32"/>
        </w:rPr>
        <w:t xml:space="preserve"> </w:t>
      </w:r>
      <w:r>
        <w:rPr>
          <w:rFonts w:ascii="Trebuchet MS" w:hAnsi="Trebuchet MS"/>
          <w:b/>
          <w:i/>
          <w:color w:val="121E31"/>
          <w:w w:val="90"/>
          <w:sz w:val="32"/>
        </w:rPr>
        <w:t>Materia:</w:t>
      </w:r>
      <w:r>
        <w:rPr>
          <w:rFonts w:ascii="Trebuchet MS" w:hAnsi="Trebuchet MS"/>
          <w:b/>
          <w:i/>
          <w:color w:val="121E31"/>
          <w:spacing w:val="-9"/>
          <w:w w:val="90"/>
          <w:sz w:val="32"/>
        </w:rPr>
        <w:t xml:space="preserve"> </w:t>
      </w:r>
      <w:r>
        <w:rPr>
          <w:rFonts w:ascii="Trebuchet MS" w:hAnsi="Trebuchet MS"/>
          <w:i/>
          <w:color w:val="121E31"/>
          <w:w w:val="90"/>
          <w:sz w:val="32"/>
        </w:rPr>
        <w:t>Diseño</w:t>
      </w:r>
      <w:r>
        <w:rPr>
          <w:rFonts w:ascii="Trebuchet MS" w:hAnsi="Trebuchet MS"/>
          <w:i/>
          <w:color w:val="121E31"/>
          <w:spacing w:val="-13"/>
          <w:w w:val="90"/>
          <w:sz w:val="32"/>
        </w:rPr>
        <w:t xml:space="preserve"> </w:t>
      </w:r>
      <w:r>
        <w:rPr>
          <w:rFonts w:ascii="Trebuchet MS" w:hAnsi="Trebuchet MS"/>
          <w:i/>
          <w:color w:val="121E31"/>
          <w:w w:val="90"/>
          <w:sz w:val="32"/>
        </w:rPr>
        <w:t>experimental</w:t>
      </w:r>
    </w:p>
    <w:p w14:paraId="13FA8536" w14:textId="77777777" w:rsidR="005A7584" w:rsidRDefault="008B2978" w:rsidP="00F87F54">
      <w:pPr>
        <w:spacing w:before="190"/>
        <w:ind w:left="110" w:right="2557"/>
        <w:jc w:val="both"/>
        <w:rPr>
          <w:rFonts w:ascii="Trebuchet MS" w:hAnsi="Trebuchet MS"/>
          <w:i/>
          <w:sz w:val="32"/>
        </w:rPr>
      </w:pPr>
      <w:r>
        <w:rPr>
          <w:rFonts w:ascii="Trebuchet MS" w:hAnsi="Trebuchet MS"/>
          <w:b/>
          <w:i/>
          <w:color w:val="121E31"/>
          <w:w w:val="85"/>
          <w:sz w:val="32"/>
        </w:rPr>
        <w:t>Nombre</w:t>
      </w:r>
      <w:r>
        <w:rPr>
          <w:rFonts w:ascii="Trebuchet MS" w:hAnsi="Trebuchet MS"/>
          <w:b/>
          <w:i/>
          <w:color w:val="121E31"/>
          <w:spacing w:val="25"/>
          <w:w w:val="85"/>
          <w:sz w:val="32"/>
        </w:rPr>
        <w:t xml:space="preserve"> </w:t>
      </w:r>
      <w:r>
        <w:rPr>
          <w:rFonts w:ascii="Trebuchet MS" w:hAnsi="Trebuchet MS"/>
          <w:b/>
          <w:i/>
          <w:color w:val="121E31"/>
          <w:w w:val="85"/>
          <w:sz w:val="32"/>
        </w:rPr>
        <w:t>del</w:t>
      </w:r>
      <w:r>
        <w:rPr>
          <w:rFonts w:ascii="Trebuchet MS" w:hAnsi="Trebuchet MS"/>
          <w:b/>
          <w:i/>
          <w:color w:val="121E31"/>
          <w:spacing w:val="25"/>
          <w:w w:val="85"/>
          <w:sz w:val="32"/>
        </w:rPr>
        <w:t xml:space="preserve"> </w:t>
      </w:r>
      <w:r>
        <w:rPr>
          <w:rFonts w:ascii="Trebuchet MS" w:hAnsi="Trebuchet MS"/>
          <w:b/>
          <w:i/>
          <w:color w:val="121E31"/>
          <w:w w:val="85"/>
          <w:sz w:val="32"/>
        </w:rPr>
        <w:t>profesor</w:t>
      </w:r>
      <w:r>
        <w:rPr>
          <w:rFonts w:ascii="Trebuchet MS" w:hAnsi="Trebuchet MS"/>
          <w:i/>
          <w:color w:val="121E31"/>
          <w:w w:val="85"/>
          <w:sz w:val="32"/>
        </w:rPr>
        <w:t>:</w:t>
      </w:r>
      <w:r>
        <w:rPr>
          <w:rFonts w:ascii="Trebuchet MS" w:hAnsi="Trebuchet MS"/>
          <w:i/>
          <w:color w:val="121E31"/>
          <w:spacing w:val="24"/>
          <w:w w:val="85"/>
          <w:sz w:val="32"/>
        </w:rPr>
        <w:t xml:space="preserve"> </w:t>
      </w:r>
      <w:r>
        <w:rPr>
          <w:rFonts w:ascii="Trebuchet MS" w:hAnsi="Trebuchet MS"/>
          <w:i/>
          <w:color w:val="121E31"/>
          <w:w w:val="85"/>
          <w:sz w:val="32"/>
        </w:rPr>
        <w:t>Dr.</w:t>
      </w:r>
      <w:r>
        <w:rPr>
          <w:rFonts w:ascii="Trebuchet MS" w:hAnsi="Trebuchet MS"/>
          <w:i/>
          <w:color w:val="121E31"/>
          <w:spacing w:val="25"/>
          <w:w w:val="85"/>
          <w:sz w:val="32"/>
        </w:rPr>
        <w:t xml:space="preserve"> </w:t>
      </w:r>
      <w:r>
        <w:rPr>
          <w:rFonts w:ascii="Trebuchet MS" w:hAnsi="Trebuchet MS"/>
          <w:i/>
          <w:color w:val="121E31"/>
          <w:w w:val="85"/>
          <w:sz w:val="32"/>
        </w:rPr>
        <w:t>Cristóbal</w:t>
      </w:r>
      <w:r>
        <w:rPr>
          <w:rFonts w:ascii="Trebuchet MS" w:hAnsi="Trebuchet MS"/>
          <w:i/>
          <w:color w:val="121E31"/>
          <w:spacing w:val="25"/>
          <w:w w:val="85"/>
          <w:sz w:val="32"/>
        </w:rPr>
        <w:t xml:space="preserve"> </w:t>
      </w:r>
      <w:r>
        <w:rPr>
          <w:rFonts w:ascii="Trebuchet MS" w:hAnsi="Trebuchet MS"/>
          <w:i/>
          <w:color w:val="121E31"/>
          <w:w w:val="85"/>
          <w:sz w:val="32"/>
        </w:rPr>
        <w:t>Eduardo</w:t>
      </w:r>
      <w:r>
        <w:rPr>
          <w:rFonts w:ascii="Trebuchet MS" w:hAnsi="Trebuchet MS"/>
          <w:i/>
          <w:color w:val="121E31"/>
          <w:spacing w:val="24"/>
          <w:w w:val="85"/>
          <w:sz w:val="32"/>
        </w:rPr>
        <w:t xml:space="preserve"> </w:t>
      </w:r>
      <w:r>
        <w:rPr>
          <w:rFonts w:ascii="Trebuchet MS" w:hAnsi="Trebuchet MS"/>
          <w:i/>
          <w:color w:val="121E31"/>
          <w:w w:val="85"/>
          <w:sz w:val="32"/>
        </w:rPr>
        <w:t>Porras</w:t>
      </w:r>
      <w:r>
        <w:rPr>
          <w:rFonts w:ascii="Trebuchet MS" w:hAnsi="Trebuchet MS"/>
          <w:i/>
          <w:color w:val="121E31"/>
          <w:spacing w:val="23"/>
          <w:w w:val="85"/>
          <w:sz w:val="32"/>
        </w:rPr>
        <w:t xml:space="preserve"> </w:t>
      </w:r>
      <w:r>
        <w:rPr>
          <w:rFonts w:ascii="Trebuchet MS" w:hAnsi="Trebuchet MS"/>
          <w:i/>
          <w:color w:val="121E31"/>
          <w:w w:val="85"/>
          <w:sz w:val="32"/>
        </w:rPr>
        <w:t>Ramos</w:t>
      </w:r>
      <w:r>
        <w:rPr>
          <w:rFonts w:ascii="Trebuchet MS" w:hAnsi="Trebuchet MS"/>
          <w:i/>
          <w:color w:val="121E31"/>
          <w:spacing w:val="-79"/>
          <w:w w:val="85"/>
          <w:sz w:val="32"/>
        </w:rPr>
        <w:t xml:space="preserve"> </w:t>
      </w:r>
      <w:r>
        <w:rPr>
          <w:rFonts w:ascii="Trebuchet MS" w:hAnsi="Trebuchet MS"/>
          <w:b/>
          <w:i/>
          <w:color w:val="121E31"/>
          <w:w w:val="95"/>
          <w:sz w:val="32"/>
        </w:rPr>
        <w:t xml:space="preserve">Nombre de la Licenciatura: </w:t>
      </w:r>
      <w:r>
        <w:rPr>
          <w:rFonts w:ascii="Trebuchet MS" w:hAnsi="Trebuchet MS"/>
          <w:i/>
          <w:color w:val="121E31"/>
          <w:w w:val="95"/>
          <w:sz w:val="32"/>
        </w:rPr>
        <w:t>Medicina Humana</w:t>
      </w:r>
      <w:r>
        <w:rPr>
          <w:rFonts w:ascii="Trebuchet MS" w:hAnsi="Trebuchet MS"/>
          <w:i/>
          <w:color w:val="121E31"/>
          <w:spacing w:val="1"/>
          <w:w w:val="95"/>
          <w:sz w:val="32"/>
        </w:rPr>
        <w:t xml:space="preserve"> </w:t>
      </w:r>
      <w:r>
        <w:rPr>
          <w:rFonts w:ascii="Trebuchet MS" w:hAnsi="Trebuchet MS"/>
          <w:i/>
          <w:color w:val="121E31"/>
          <w:w w:val="95"/>
          <w:sz w:val="32"/>
        </w:rPr>
        <w:t>Cuatrimestre-Semestre</w:t>
      </w:r>
    </w:p>
    <w:p w14:paraId="13FA8537" w14:textId="77777777" w:rsidR="005A7584" w:rsidRDefault="005A7584" w:rsidP="00F87F54">
      <w:pPr>
        <w:jc w:val="both"/>
        <w:rPr>
          <w:rFonts w:ascii="Trebuchet MS" w:hAnsi="Trebuchet MS"/>
          <w:sz w:val="32"/>
        </w:rPr>
        <w:sectPr w:rsidR="005A7584">
          <w:type w:val="continuous"/>
          <w:pgSz w:w="12240" w:h="15840"/>
          <w:pgMar w:top="1500" w:right="840" w:bottom="280" w:left="1320" w:header="720" w:footer="720" w:gutter="0"/>
          <w:cols w:space="720"/>
        </w:sectPr>
      </w:pPr>
    </w:p>
    <w:p w14:paraId="13FA8538" w14:textId="77777777" w:rsidR="005A7584" w:rsidRDefault="005A7584" w:rsidP="00F87F54">
      <w:pPr>
        <w:pStyle w:val="Textoindependiente"/>
        <w:spacing w:before="2"/>
        <w:jc w:val="both"/>
        <w:rPr>
          <w:rFonts w:ascii="Trebuchet MS"/>
          <w:i/>
          <w:sz w:val="17"/>
        </w:rPr>
      </w:pPr>
    </w:p>
    <w:p w14:paraId="13FA8539" w14:textId="77777777" w:rsidR="005A7584" w:rsidRDefault="005A7584" w:rsidP="00F87F54">
      <w:pPr>
        <w:jc w:val="both"/>
        <w:rPr>
          <w:rFonts w:ascii="Trebuchet MS"/>
          <w:sz w:val="17"/>
        </w:rPr>
        <w:sectPr w:rsidR="005A7584">
          <w:pgSz w:w="12240" w:h="15840"/>
          <w:pgMar w:top="1500" w:right="840" w:bottom="280" w:left="1320" w:header="720" w:footer="720" w:gutter="0"/>
          <w:cols w:space="720"/>
        </w:sectPr>
      </w:pPr>
    </w:p>
    <w:p w14:paraId="13FA853A" w14:textId="77777777" w:rsidR="005A7584" w:rsidRDefault="008B2978" w:rsidP="00F87F54">
      <w:pPr>
        <w:spacing w:before="78"/>
        <w:ind w:left="382"/>
        <w:jc w:val="both"/>
        <w:rPr>
          <w:rFonts w:ascii="Arial" w:hAnsi="Arial"/>
          <w:b/>
          <w:sz w:val="32"/>
        </w:rPr>
      </w:pPr>
      <w:bookmarkStart w:id="0" w:name="_bookmark0"/>
      <w:bookmarkEnd w:id="0"/>
      <w:r>
        <w:rPr>
          <w:rFonts w:ascii="Arial" w:hAnsi="Arial"/>
          <w:b/>
          <w:sz w:val="32"/>
        </w:rPr>
        <w:lastRenderedPageBreak/>
        <w:t>Índice</w:t>
      </w:r>
    </w:p>
    <w:sdt>
      <w:sdtPr>
        <w:id w:val="58448579"/>
        <w:docPartObj>
          <w:docPartGallery w:val="Table of Contents"/>
          <w:docPartUnique/>
        </w:docPartObj>
      </w:sdtPr>
      <w:sdtContent>
        <w:p w14:paraId="13FA853B" w14:textId="77777777" w:rsidR="005A7584" w:rsidRDefault="00000000" w:rsidP="00F87F54">
          <w:pPr>
            <w:pStyle w:val="TDC1"/>
            <w:tabs>
              <w:tab w:val="right" w:leader="dot" w:pos="9210"/>
            </w:tabs>
            <w:spacing w:before="28"/>
            <w:ind w:left="0"/>
            <w:jc w:val="both"/>
          </w:pPr>
          <w:hyperlink w:anchor="_bookmark0" w:history="1">
            <w:r w:rsidR="008B2978">
              <w:t>Justificación</w:t>
            </w:r>
            <w:r w:rsidR="008B2978">
              <w:tab/>
              <w:t>4</w:t>
            </w:r>
          </w:hyperlink>
        </w:p>
        <w:p w14:paraId="13FA853C" w14:textId="77777777" w:rsidR="005A7584" w:rsidRDefault="00000000" w:rsidP="00F87F54">
          <w:pPr>
            <w:pStyle w:val="TDC1"/>
            <w:tabs>
              <w:tab w:val="right" w:leader="dot" w:pos="9210"/>
            </w:tabs>
            <w:ind w:left="0"/>
            <w:jc w:val="both"/>
          </w:pPr>
          <w:hyperlink w:anchor="_bookmark1" w:history="1">
            <w:r w:rsidR="008B2978">
              <w:t>Hipótesis</w:t>
            </w:r>
            <w:r w:rsidR="008B2978">
              <w:tab/>
              <w:t>4</w:t>
            </w:r>
          </w:hyperlink>
        </w:p>
        <w:p w14:paraId="13FA853D" w14:textId="77777777" w:rsidR="005A7584" w:rsidRDefault="00000000" w:rsidP="00F87F54">
          <w:pPr>
            <w:pStyle w:val="TDC1"/>
            <w:tabs>
              <w:tab w:val="right" w:leader="dot" w:pos="9210"/>
            </w:tabs>
            <w:ind w:left="0"/>
            <w:jc w:val="both"/>
          </w:pPr>
          <w:hyperlink w:anchor="_bookmark2" w:history="1">
            <w:r w:rsidR="008B2978">
              <w:t>Objetivo</w:t>
            </w:r>
            <w:r w:rsidR="008B2978">
              <w:tab/>
              <w:t>4</w:t>
            </w:r>
          </w:hyperlink>
        </w:p>
        <w:p w14:paraId="13FA853E" w14:textId="77777777" w:rsidR="005A7584" w:rsidRDefault="00000000" w:rsidP="00F87F54">
          <w:pPr>
            <w:pStyle w:val="TDC2"/>
            <w:tabs>
              <w:tab w:val="right" w:leader="dot" w:pos="9210"/>
            </w:tabs>
            <w:jc w:val="both"/>
          </w:pPr>
          <w:hyperlink w:anchor="_bookmark3" w:history="1">
            <w:r w:rsidR="008B2978">
              <w:t>Objetivo</w:t>
            </w:r>
            <w:r w:rsidR="008B2978">
              <w:rPr>
                <w:spacing w:val="-2"/>
              </w:rPr>
              <w:t xml:space="preserve"> </w:t>
            </w:r>
            <w:r w:rsidR="008B2978">
              <w:t>general</w:t>
            </w:r>
            <w:r w:rsidR="008B2978">
              <w:tab/>
              <w:t>4</w:t>
            </w:r>
          </w:hyperlink>
        </w:p>
        <w:p w14:paraId="13FA853F" w14:textId="77777777" w:rsidR="005A7584" w:rsidRDefault="00000000" w:rsidP="00F87F54">
          <w:pPr>
            <w:pStyle w:val="TDC2"/>
            <w:tabs>
              <w:tab w:val="right" w:leader="dot" w:pos="9210"/>
            </w:tabs>
            <w:jc w:val="both"/>
          </w:pPr>
          <w:hyperlink w:anchor="_bookmark4" w:history="1">
            <w:r w:rsidR="008B2978">
              <w:t>Objetivos</w:t>
            </w:r>
            <w:r w:rsidR="008B2978">
              <w:rPr>
                <w:spacing w:val="-1"/>
              </w:rPr>
              <w:t xml:space="preserve"> </w:t>
            </w:r>
            <w:r w:rsidR="008B2978">
              <w:t>específicos</w:t>
            </w:r>
            <w:r w:rsidR="008B2978">
              <w:tab/>
              <w:t>4</w:t>
            </w:r>
          </w:hyperlink>
        </w:p>
        <w:p w14:paraId="13FA8540" w14:textId="77777777" w:rsidR="005A7584" w:rsidRDefault="00000000" w:rsidP="00F87F54">
          <w:pPr>
            <w:pStyle w:val="TDC1"/>
            <w:tabs>
              <w:tab w:val="right" w:leader="dot" w:pos="9210"/>
            </w:tabs>
            <w:ind w:left="0"/>
            <w:jc w:val="both"/>
          </w:pPr>
          <w:hyperlink w:anchor="_bookmark5" w:history="1">
            <w:r w:rsidR="008B2978">
              <w:t>Diseño</w:t>
            </w:r>
            <w:r w:rsidR="008B2978">
              <w:rPr>
                <w:spacing w:val="-2"/>
              </w:rPr>
              <w:t xml:space="preserve"> </w:t>
            </w:r>
            <w:r w:rsidR="008B2978">
              <w:t>metodológico</w:t>
            </w:r>
            <w:r w:rsidR="008B2978">
              <w:tab/>
              <w:t>4</w:t>
            </w:r>
          </w:hyperlink>
        </w:p>
        <w:p w14:paraId="13FA8541" w14:textId="77777777" w:rsidR="005A7584" w:rsidRDefault="00000000" w:rsidP="00F87F54">
          <w:pPr>
            <w:pStyle w:val="TDC1"/>
            <w:tabs>
              <w:tab w:val="right" w:leader="dot" w:pos="9210"/>
            </w:tabs>
            <w:spacing w:before="131"/>
            <w:ind w:left="0"/>
            <w:jc w:val="both"/>
          </w:pPr>
          <w:hyperlink w:anchor="_bookmark6" w:history="1">
            <w:r w:rsidR="008B2978">
              <w:t>Marco</w:t>
            </w:r>
            <w:r w:rsidR="008B2978">
              <w:rPr>
                <w:spacing w:val="-2"/>
              </w:rPr>
              <w:t xml:space="preserve"> </w:t>
            </w:r>
            <w:r w:rsidR="008B2978">
              <w:t>teórico</w:t>
            </w:r>
            <w:r w:rsidR="008B2978">
              <w:tab/>
              <w:t>5</w:t>
            </w:r>
          </w:hyperlink>
        </w:p>
        <w:p w14:paraId="13FA8542" w14:textId="77777777" w:rsidR="000E6A62" w:rsidRDefault="000E6A62" w:rsidP="00F87F54">
          <w:pPr>
            <w:pStyle w:val="TDC1"/>
            <w:tabs>
              <w:tab w:val="right" w:leader="dot" w:pos="9210"/>
            </w:tabs>
            <w:spacing w:before="131"/>
            <w:ind w:left="0"/>
            <w:jc w:val="both"/>
          </w:pPr>
          <w:r>
            <w:t xml:space="preserve">     Epidemiologia…………………………………………………</w:t>
          </w:r>
          <w:r w:rsidR="00FB248E">
            <w:t>…..</w:t>
          </w:r>
          <w:r>
            <w:t>5</w:t>
          </w:r>
        </w:p>
        <w:p w14:paraId="13FA8543" w14:textId="77777777" w:rsidR="000E6A62" w:rsidRDefault="000E6A62" w:rsidP="00F87F54">
          <w:pPr>
            <w:pStyle w:val="TDC1"/>
            <w:tabs>
              <w:tab w:val="right" w:leader="dot" w:pos="9210"/>
            </w:tabs>
            <w:spacing w:before="131"/>
            <w:ind w:left="0"/>
            <w:jc w:val="both"/>
          </w:pPr>
          <w:r>
            <w:t xml:space="preserve">     </w:t>
          </w:r>
          <w:r w:rsidR="00FB248E">
            <w:t>Fisiología</w:t>
          </w:r>
          <w:r>
            <w:t>………………………………………………………</w:t>
          </w:r>
          <w:r w:rsidR="00FB248E">
            <w:t>…..</w:t>
          </w:r>
          <w:r>
            <w:t>5</w:t>
          </w:r>
        </w:p>
        <w:p w14:paraId="13FA8544" w14:textId="77777777" w:rsidR="000E6A62" w:rsidRDefault="000E6A62" w:rsidP="00F87F54">
          <w:pPr>
            <w:pStyle w:val="TDC1"/>
            <w:tabs>
              <w:tab w:val="right" w:leader="dot" w:pos="9210"/>
            </w:tabs>
            <w:spacing w:before="131"/>
            <w:ind w:left="0"/>
            <w:jc w:val="both"/>
          </w:pPr>
          <w:r>
            <w:t xml:space="preserve">     Diagnostico……………………………………………………</w:t>
          </w:r>
          <w:r w:rsidR="00FB248E">
            <w:t>…..</w:t>
          </w:r>
          <w:r>
            <w:t>5</w:t>
          </w:r>
        </w:p>
        <w:p w14:paraId="13FA8545" w14:textId="77777777" w:rsidR="000E6A62" w:rsidRDefault="000E6A62" w:rsidP="00F87F54">
          <w:pPr>
            <w:pStyle w:val="TDC1"/>
            <w:tabs>
              <w:tab w:val="right" w:leader="dot" w:pos="9210"/>
            </w:tabs>
            <w:spacing w:before="131"/>
            <w:ind w:left="0"/>
            <w:jc w:val="both"/>
          </w:pPr>
          <w:r>
            <w:t xml:space="preserve">     Tratamiento……………………………………………………</w:t>
          </w:r>
          <w:r w:rsidR="00FB248E">
            <w:t>….5</w:t>
          </w:r>
        </w:p>
        <w:p w14:paraId="13FA8546" w14:textId="77777777" w:rsidR="00FB248E" w:rsidRDefault="00FB248E" w:rsidP="00F87F54">
          <w:pPr>
            <w:pStyle w:val="TDC1"/>
            <w:tabs>
              <w:tab w:val="right" w:leader="dot" w:pos="9210"/>
            </w:tabs>
            <w:spacing w:before="131"/>
            <w:ind w:left="0"/>
            <w:jc w:val="both"/>
          </w:pPr>
          <w:r>
            <w:t>Resultado………………………………………………………….....6</w:t>
          </w:r>
        </w:p>
        <w:p w14:paraId="13FA8547" w14:textId="77777777" w:rsidR="00FB248E" w:rsidRDefault="00FB248E" w:rsidP="00F87F54">
          <w:pPr>
            <w:pStyle w:val="TDC1"/>
            <w:tabs>
              <w:tab w:val="right" w:leader="dot" w:pos="9210"/>
            </w:tabs>
            <w:spacing w:before="131"/>
            <w:ind w:left="0"/>
            <w:jc w:val="both"/>
          </w:pPr>
          <w:r>
            <w:t>Anexos………………………………………………………………..7</w:t>
          </w:r>
        </w:p>
        <w:p w14:paraId="13FA8548" w14:textId="77777777" w:rsidR="005A7584" w:rsidRDefault="00FB248E" w:rsidP="00F87F54">
          <w:pPr>
            <w:pStyle w:val="TDC1"/>
            <w:tabs>
              <w:tab w:val="right" w:leader="dot" w:pos="9210"/>
            </w:tabs>
            <w:ind w:left="0"/>
            <w:jc w:val="both"/>
            <w:sectPr w:rsidR="005A7584">
              <w:pgSz w:w="12240" w:h="15840"/>
              <w:pgMar w:top="1340" w:right="840" w:bottom="280" w:left="1320" w:header="720" w:footer="720" w:gutter="0"/>
              <w:cols w:space="720"/>
            </w:sectPr>
          </w:pPr>
          <w:r>
            <w:t>Bibliografia…………………………………………………………...8</w:t>
          </w:r>
        </w:p>
      </w:sdtContent>
    </w:sdt>
    <w:p w14:paraId="13FA8549" w14:textId="77777777" w:rsidR="005A7584" w:rsidRDefault="008B2978" w:rsidP="00F87F54">
      <w:pPr>
        <w:pStyle w:val="Ttulo1"/>
        <w:spacing w:before="78"/>
        <w:jc w:val="both"/>
      </w:pPr>
      <w:r>
        <w:lastRenderedPageBreak/>
        <w:t>Justificación</w:t>
      </w:r>
    </w:p>
    <w:p w14:paraId="13FA854A" w14:textId="234DD5A3" w:rsidR="005A7584" w:rsidRDefault="008B2978" w:rsidP="00F87F54">
      <w:pPr>
        <w:pStyle w:val="Textoindependiente"/>
        <w:spacing w:before="29"/>
        <w:ind w:left="382" w:right="862"/>
        <w:jc w:val="both"/>
      </w:pPr>
      <w:r>
        <w:rPr>
          <w:spacing w:val="-1"/>
        </w:rPr>
        <w:t>La</w:t>
      </w:r>
      <w:r>
        <w:rPr>
          <w:spacing w:val="-15"/>
        </w:rPr>
        <w:t xml:space="preserve"> </w:t>
      </w:r>
      <w:r>
        <w:rPr>
          <w:spacing w:val="-1"/>
        </w:rPr>
        <w:t>presente</w:t>
      </w:r>
      <w:r>
        <w:rPr>
          <w:spacing w:val="-14"/>
        </w:rPr>
        <w:t xml:space="preserve"> </w:t>
      </w:r>
      <w:r>
        <w:t>investigación</w:t>
      </w:r>
      <w:r>
        <w:rPr>
          <w:spacing w:val="-12"/>
        </w:rPr>
        <w:t xml:space="preserve"> </w:t>
      </w:r>
      <w:r>
        <w:t>se</w:t>
      </w:r>
      <w:r>
        <w:rPr>
          <w:spacing w:val="-15"/>
        </w:rPr>
        <w:t xml:space="preserve"> </w:t>
      </w:r>
      <w:r>
        <w:t>enfocará</w:t>
      </w:r>
      <w:r>
        <w:rPr>
          <w:spacing w:val="-15"/>
        </w:rPr>
        <w:t xml:space="preserve"> </w:t>
      </w:r>
      <w:r>
        <w:t>en</w:t>
      </w:r>
      <w:r>
        <w:rPr>
          <w:spacing w:val="-14"/>
        </w:rPr>
        <w:t xml:space="preserve"> </w:t>
      </w:r>
      <w:r>
        <w:t>presentar</w:t>
      </w:r>
      <w:r>
        <w:rPr>
          <w:spacing w:val="-17"/>
        </w:rPr>
        <w:t xml:space="preserve"> </w:t>
      </w:r>
      <w:r>
        <w:t>y</w:t>
      </w:r>
      <w:r>
        <w:rPr>
          <w:spacing w:val="-15"/>
        </w:rPr>
        <w:t xml:space="preserve"> </w:t>
      </w:r>
      <w:r>
        <w:t>describir</w:t>
      </w:r>
      <w:r>
        <w:rPr>
          <w:spacing w:val="-14"/>
        </w:rPr>
        <w:t xml:space="preserve"> </w:t>
      </w:r>
      <w:r>
        <w:t>el</w:t>
      </w:r>
      <w:r>
        <w:rPr>
          <w:spacing w:val="-16"/>
        </w:rPr>
        <w:t xml:space="preserve"> </w:t>
      </w:r>
      <w:r>
        <w:t>síndrome</w:t>
      </w:r>
      <w:r>
        <w:rPr>
          <w:spacing w:val="-14"/>
        </w:rPr>
        <w:t xml:space="preserve"> </w:t>
      </w:r>
      <w:r>
        <w:t>de</w:t>
      </w:r>
      <w:r>
        <w:rPr>
          <w:spacing w:val="-14"/>
        </w:rPr>
        <w:t xml:space="preserve"> </w:t>
      </w:r>
      <w:r>
        <w:t>ovario</w:t>
      </w:r>
      <w:r>
        <w:rPr>
          <w:spacing w:val="-65"/>
        </w:rPr>
        <w:t xml:space="preserve"> </w:t>
      </w:r>
      <w:r>
        <w:t>p</w:t>
      </w:r>
      <w:r w:rsidR="00BA1762">
        <w:t xml:space="preserve">oliquístico con el fin de hacer que las personas en </w:t>
      </w:r>
      <w:r>
        <w:t xml:space="preserve"> San Cristóbal de las</w:t>
      </w:r>
      <w:r>
        <w:rPr>
          <w:spacing w:val="1"/>
        </w:rPr>
        <w:t xml:space="preserve"> </w:t>
      </w:r>
      <w:r>
        <w:t>Casas</w:t>
      </w:r>
      <w:r w:rsidR="00BA1762">
        <w:t xml:space="preserve"> tengan más conocimiento de este sindrome</w:t>
      </w:r>
      <w:r>
        <w:t>. Consideramos el análisis detallado del SOP debido a la situación actual,</w:t>
      </w:r>
      <w:r>
        <w:rPr>
          <w:spacing w:val="1"/>
        </w:rPr>
        <w:t xml:space="preserve"> </w:t>
      </w:r>
      <w:r>
        <w:t>este</w:t>
      </w:r>
      <w:r>
        <w:rPr>
          <w:spacing w:val="1"/>
        </w:rPr>
        <w:t xml:space="preserve"> </w:t>
      </w:r>
      <w:r>
        <w:t>trabajo</w:t>
      </w:r>
      <w:r>
        <w:rPr>
          <w:spacing w:val="1"/>
        </w:rPr>
        <w:t xml:space="preserve"> </w:t>
      </w:r>
      <w:r>
        <w:t>toma</w:t>
      </w:r>
      <w:r>
        <w:rPr>
          <w:spacing w:val="1"/>
        </w:rPr>
        <w:t xml:space="preserve"> </w:t>
      </w:r>
      <w:r>
        <w:t>una</w:t>
      </w:r>
      <w:r>
        <w:rPr>
          <w:spacing w:val="1"/>
        </w:rPr>
        <w:t xml:space="preserve"> </w:t>
      </w:r>
      <w:r>
        <w:t>importancia</w:t>
      </w:r>
      <w:r>
        <w:rPr>
          <w:spacing w:val="1"/>
        </w:rPr>
        <w:t xml:space="preserve"> </w:t>
      </w:r>
      <w:r>
        <w:t>fundamental</w:t>
      </w:r>
      <w:r>
        <w:rPr>
          <w:spacing w:val="1"/>
        </w:rPr>
        <w:t xml:space="preserve"> </w:t>
      </w:r>
      <w:r>
        <w:t>para</w:t>
      </w:r>
      <w:r>
        <w:rPr>
          <w:spacing w:val="1"/>
        </w:rPr>
        <w:t xml:space="preserve"> </w:t>
      </w:r>
      <w:r>
        <w:t>el</w:t>
      </w:r>
      <w:r>
        <w:rPr>
          <w:spacing w:val="1"/>
        </w:rPr>
        <w:t xml:space="preserve"> </w:t>
      </w:r>
      <w:r>
        <w:t>conocimiento</w:t>
      </w:r>
      <w:r>
        <w:rPr>
          <w:spacing w:val="1"/>
        </w:rPr>
        <w:t xml:space="preserve"> </w:t>
      </w:r>
      <w:r>
        <w:t>de</w:t>
      </w:r>
      <w:r>
        <w:rPr>
          <w:spacing w:val="1"/>
        </w:rPr>
        <w:t xml:space="preserve"> </w:t>
      </w:r>
      <w:r>
        <w:t>las</w:t>
      </w:r>
      <w:r>
        <w:rPr>
          <w:spacing w:val="1"/>
        </w:rPr>
        <w:t xml:space="preserve"> </w:t>
      </w:r>
      <w:r>
        <w:t>características,</w:t>
      </w:r>
      <w:r>
        <w:rPr>
          <w:spacing w:val="-5"/>
        </w:rPr>
        <w:t xml:space="preserve"> </w:t>
      </w:r>
      <w:r>
        <w:t>diagnóstico</w:t>
      </w:r>
      <w:r>
        <w:rPr>
          <w:spacing w:val="-4"/>
        </w:rPr>
        <w:t xml:space="preserve"> </w:t>
      </w:r>
      <w:r>
        <w:t>y</w:t>
      </w:r>
      <w:r>
        <w:rPr>
          <w:spacing w:val="-5"/>
        </w:rPr>
        <w:t xml:space="preserve"> </w:t>
      </w:r>
      <w:r>
        <w:t>tratamiento</w:t>
      </w:r>
      <w:r>
        <w:rPr>
          <w:spacing w:val="-3"/>
        </w:rPr>
        <w:t xml:space="preserve"> </w:t>
      </w:r>
      <w:r>
        <w:t>de</w:t>
      </w:r>
      <w:r>
        <w:rPr>
          <w:spacing w:val="-7"/>
        </w:rPr>
        <w:t xml:space="preserve"> </w:t>
      </w:r>
      <w:r>
        <w:t>este</w:t>
      </w:r>
      <w:r>
        <w:rPr>
          <w:spacing w:val="-3"/>
        </w:rPr>
        <w:t xml:space="preserve"> </w:t>
      </w:r>
      <w:r>
        <w:t>síndrome</w:t>
      </w:r>
      <w:r>
        <w:rPr>
          <w:spacing w:val="-5"/>
        </w:rPr>
        <w:t xml:space="preserve"> </w:t>
      </w:r>
      <w:r>
        <w:t>dando</w:t>
      </w:r>
      <w:r>
        <w:rPr>
          <w:spacing w:val="-4"/>
        </w:rPr>
        <w:t xml:space="preserve"> </w:t>
      </w:r>
      <w:r>
        <w:t>un</w:t>
      </w:r>
      <w:r>
        <w:rPr>
          <w:spacing w:val="-5"/>
        </w:rPr>
        <w:t xml:space="preserve"> </w:t>
      </w:r>
      <w:r>
        <w:t>enfoque</w:t>
      </w:r>
      <w:r>
        <w:rPr>
          <w:spacing w:val="-4"/>
        </w:rPr>
        <w:t xml:space="preserve"> </w:t>
      </w:r>
      <w:r>
        <w:t>en</w:t>
      </w:r>
      <w:r>
        <w:rPr>
          <w:spacing w:val="-5"/>
        </w:rPr>
        <w:t xml:space="preserve"> </w:t>
      </w:r>
      <w:r>
        <w:t>el</w:t>
      </w:r>
      <w:r>
        <w:rPr>
          <w:spacing w:val="-64"/>
        </w:rPr>
        <w:t xml:space="preserve"> </w:t>
      </w:r>
      <w:r>
        <w:rPr>
          <w:spacing w:val="-1"/>
        </w:rPr>
        <w:t>cual</w:t>
      </w:r>
      <w:r>
        <w:rPr>
          <w:spacing w:val="-12"/>
        </w:rPr>
        <w:t xml:space="preserve"> </w:t>
      </w:r>
      <w:r>
        <w:rPr>
          <w:spacing w:val="-1"/>
        </w:rPr>
        <w:t>la</w:t>
      </w:r>
      <w:r>
        <w:rPr>
          <w:spacing w:val="-14"/>
        </w:rPr>
        <w:t xml:space="preserve"> </w:t>
      </w:r>
      <w:r>
        <w:rPr>
          <w:spacing w:val="-1"/>
        </w:rPr>
        <w:t>información</w:t>
      </w:r>
      <w:r>
        <w:rPr>
          <w:spacing w:val="-13"/>
        </w:rPr>
        <w:t xml:space="preserve"> </w:t>
      </w:r>
      <w:r>
        <w:rPr>
          <w:spacing w:val="-1"/>
        </w:rPr>
        <w:t>de</w:t>
      </w:r>
      <w:r>
        <w:rPr>
          <w:spacing w:val="-16"/>
        </w:rPr>
        <w:t xml:space="preserve"> </w:t>
      </w:r>
      <w:r>
        <w:rPr>
          <w:spacing w:val="-1"/>
        </w:rPr>
        <w:t>este</w:t>
      </w:r>
      <w:r>
        <w:rPr>
          <w:spacing w:val="-13"/>
        </w:rPr>
        <w:t xml:space="preserve"> </w:t>
      </w:r>
      <w:r>
        <w:rPr>
          <w:spacing w:val="-1"/>
        </w:rPr>
        <w:t>estudio</w:t>
      </w:r>
      <w:r>
        <w:rPr>
          <w:spacing w:val="-14"/>
        </w:rPr>
        <w:t xml:space="preserve"> </w:t>
      </w:r>
      <w:r>
        <w:t>sea</w:t>
      </w:r>
      <w:r>
        <w:rPr>
          <w:spacing w:val="-13"/>
        </w:rPr>
        <w:t xml:space="preserve"> </w:t>
      </w:r>
      <w:r>
        <w:t>comprensible</w:t>
      </w:r>
      <w:r>
        <w:rPr>
          <w:spacing w:val="-13"/>
        </w:rPr>
        <w:t xml:space="preserve"> </w:t>
      </w:r>
      <w:r>
        <w:t>para</w:t>
      </w:r>
      <w:r>
        <w:rPr>
          <w:spacing w:val="-11"/>
        </w:rPr>
        <w:t xml:space="preserve"> </w:t>
      </w:r>
      <w:r>
        <w:t>todo</w:t>
      </w:r>
      <w:r>
        <w:rPr>
          <w:spacing w:val="-13"/>
        </w:rPr>
        <w:t xml:space="preserve"> </w:t>
      </w:r>
      <w:r>
        <w:t>el</w:t>
      </w:r>
      <w:r>
        <w:rPr>
          <w:spacing w:val="-15"/>
        </w:rPr>
        <w:t xml:space="preserve"> </w:t>
      </w:r>
      <w:r>
        <w:t>público</w:t>
      </w:r>
      <w:r>
        <w:rPr>
          <w:spacing w:val="-10"/>
        </w:rPr>
        <w:t xml:space="preserve"> </w:t>
      </w:r>
      <w:r>
        <w:t>en</w:t>
      </w:r>
      <w:r>
        <w:rPr>
          <w:spacing w:val="-14"/>
        </w:rPr>
        <w:t xml:space="preserve"> </w:t>
      </w:r>
      <w:r>
        <w:t>general</w:t>
      </w:r>
      <w:r>
        <w:rPr>
          <w:spacing w:val="-65"/>
        </w:rPr>
        <w:t xml:space="preserve"> </w:t>
      </w:r>
      <w:r>
        <w:t>y</w:t>
      </w:r>
      <w:r>
        <w:rPr>
          <w:spacing w:val="-1"/>
        </w:rPr>
        <w:t xml:space="preserve"> </w:t>
      </w:r>
      <w:r>
        <w:t>no sólo para el</w:t>
      </w:r>
      <w:r>
        <w:rPr>
          <w:spacing w:val="-3"/>
        </w:rPr>
        <w:t xml:space="preserve"> </w:t>
      </w:r>
      <w:r>
        <w:t>personal de salud.</w:t>
      </w:r>
    </w:p>
    <w:p w14:paraId="13FA854B" w14:textId="77777777" w:rsidR="005A7584" w:rsidRDefault="005A7584" w:rsidP="00F87F54">
      <w:pPr>
        <w:pStyle w:val="Textoindependiente"/>
        <w:jc w:val="both"/>
        <w:rPr>
          <w:sz w:val="21"/>
        </w:rPr>
      </w:pPr>
    </w:p>
    <w:p w14:paraId="13FA854C" w14:textId="77777777" w:rsidR="005A7584" w:rsidRDefault="008B2978" w:rsidP="00F87F54">
      <w:pPr>
        <w:pStyle w:val="Ttulo1"/>
        <w:jc w:val="both"/>
      </w:pPr>
      <w:bookmarkStart w:id="1" w:name="_bookmark1"/>
      <w:bookmarkEnd w:id="1"/>
      <w:r>
        <w:t>Hipótesis</w:t>
      </w:r>
    </w:p>
    <w:p w14:paraId="13FA854D" w14:textId="6C281F9B" w:rsidR="005A7584" w:rsidRDefault="008B2978" w:rsidP="00F87F54">
      <w:pPr>
        <w:pStyle w:val="Textoindependiente"/>
        <w:spacing w:before="29"/>
        <w:ind w:left="382" w:right="856"/>
        <w:jc w:val="both"/>
      </w:pPr>
      <w:r>
        <w:t>Las</w:t>
      </w:r>
      <w:r>
        <w:rPr>
          <w:spacing w:val="-7"/>
        </w:rPr>
        <w:t xml:space="preserve"> </w:t>
      </w:r>
      <w:r>
        <w:t>mujeres</w:t>
      </w:r>
      <w:r w:rsidR="00350BBE">
        <w:rPr>
          <w:spacing w:val="-7"/>
        </w:rPr>
        <w:t xml:space="preserve"> con un desbalance hormonal </w:t>
      </w:r>
      <w:r>
        <w:t>son</w:t>
      </w:r>
      <w:r>
        <w:rPr>
          <w:spacing w:val="-4"/>
        </w:rPr>
        <w:t xml:space="preserve"> </w:t>
      </w:r>
      <w:r>
        <w:t>las</w:t>
      </w:r>
      <w:r>
        <w:rPr>
          <w:spacing w:val="-6"/>
        </w:rPr>
        <w:t xml:space="preserve"> </w:t>
      </w:r>
      <w:r>
        <w:t>más</w:t>
      </w:r>
      <w:r>
        <w:rPr>
          <w:spacing w:val="-4"/>
        </w:rPr>
        <w:t xml:space="preserve"> </w:t>
      </w:r>
      <w:r>
        <w:t>afectadas</w:t>
      </w:r>
      <w:r>
        <w:rPr>
          <w:spacing w:val="-7"/>
        </w:rPr>
        <w:t xml:space="preserve"> </w:t>
      </w:r>
      <w:r>
        <w:t>por</w:t>
      </w:r>
      <w:r>
        <w:rPr>
          <w:spacing w:val="-4"/>
        </w:rPr>
        <w:t xml:space="preserve"> </w:t>
      </w:r>
      <w:r>
        <w:t>el</w:t>
      </w:r>
      <w:r>
        <w:rPr>
          <w:spacing w:val="-5"/>
        </w:rPr>
        <w:t xml:space="preserve"> </w:t>
      </w:r>
      <w:r>
        <w:t>síndrome</w:t>
      </w:r>
      <w:r>
        <w:rPr>
          <w:spacing w:val="-4"/>
        </w:rPr>
        <w:t xml:space="preserve"> </w:t>
      </w:r>
      <w:r>
        <w:t>de</w:t>
      </w:r>
      <w:r>
        <w:rPr>
          <w:spacing w:val="-4"/>
        </w:rPr>
        <w:t xml:space="preserve"> </w:t>
      </w:r>
      <w:r>
        <w:t>ovario</w:t>
      </w:r>
      <w:r>
        <w:rPr>
          <w:spacing w:val="-64"/>
        </w:rPr>
        <w:t xml:space="preserve"> </w:t>
      </w:r>
      <w:r>
        <w:t>poliquístico</w:t>
      </w:r>
      <w:r>
        <w:rPr>
          <w:spacing w:val="1"/>
        </w:rPr>
        <w:t xml:space="preserve"> </w:t>
      </w:r>
      <w:r>
        <w:t>con</w:t>
      </w:r>
      <w:r>
        <w:rPr>
          <w:spacing w:val="1"/>
        </w:rPr>
        <w:t xml:space="preserve"> </w:t>
      </w:r>
      <w:r>
        <w:t>antecedentes</w:t>
      </w:r>
      <w:r>
        <w:rPr>
          <w:spacing w:val="1"/>
        </w:rPr>
        <w:t xml:space="preserve"> </w:t>
      </w:r>
      <w:r>
        <w:t>del</w:t>
      </w:r>
      <w:r>
        <w:rPr>
          <w:spacing w:val="1"/>
        </w:rPr>
        <w:t xml:space="preserve"> </w:t>
      </w:r>
      <w:r>
        <w:t>inicio</w:t>
      </w:r>
      <w:r>
        <w:rPr>
          <w:spacing w:val="1"/>
        </w:rPr>
        <w:t xml:space="preserve"> </w:t>
      </w:r>
      <w:r>
        <w:t>en</w:t>
      </w:r>
      <w:r>
        <w:rPr>
          <w:spacing w:val="1"/>
        </w:rPr>
        <w:t xml:space="preserve"> </w:t>
      </w:r>
      <w:r>
        <w:t>la</w:t>
      </w:r>
      <w:r>
        <w:rPr>
          <w:spacing w:val="1"/>
        </w:rPr>
        <w:t xml:space="preserve"> </w:t>
      </w:r>
      <w:r>
        <w:rPr>
          <w:spacing w:val="-1"/>
        </w:rPr>
        <w:t>menarquia</w:t>
      </w:r>
      <w:r w:rsidR="00350BBE">
        <w:rPr>
          <w:spacing w:val="-1"/>
        </w:rPr>
        <w:t xml:space="preserve"> </w:t>
      </w:r>
      <w:r>
        <w:t>y</w:t>
      </w:r>
      <w:r>
        <w:rPr>
          <w:spacing w:val="-16"/>
        </w:rPr>
        <w:t xml:space="preserve"> </w:t>
      </w:r>
      <w:r>
        <w:t>se</w:t>
      </w:r>
      <w:r>
        <w:rPr>
          <w:spacing w:val="-14"/>
        </w:rPr>
        <w:t xml:space="preserve"> </w:t>
      </w:r>
      <w:r>
        <w:t>sugiere</w:t>
      </w:r>
      <w:r>
        <w:rPr>
          <w:spacing w:val="-14"/>
        </w:rPr>
        <w:t xml:space="preserve"> </w:t>
      </w:r>
      <w:r>
        <w:t>la</w:t>
      </w:r>
      <w:r>
        <w:rPr>
          <w:spacing w:val="-14"/>
        </w:rPr>
        <w:t xml:space="preserve"> </w:t>
      </w:r>
      <w:r>
        <w:t>existencia</w:t>
      </w:r>
      <w:r>
        <w:rPr>
          <w:spacing w:val="-16"/>
        </w:rPr>
        <w:t xml:space="preserve"> </w:t>
      </w:r>
      <w:r>
        <w:t>de</w:t>
      </w:r>
      <w:r>
        <w:rPr>
          <w:spacing w:val="-15"/>
        </w:rPr>
        <w:t xml:space="preserve"> </w:t>
      </w:r>
      <w:r>
        <w:t>la</w:t>
      </w:r>
      <w:r>
        <w:rPr>
          <w:spacing w:val="-16"/>
        </w:rPr>
        <w:t xml:space="preserve"> </w:t>
      </w:r>
      <w:r>
        <w:t>tendencia</w:t>
      </w:r>
      <w:r>
        <w:rPr>
          <w:spacing w:val="-65"/>
        </w:rPr>
        <w:t xml:space="preserve"> </w:t>
      </w:r>
      <w:r>
        <w:t>familiar</w:t>
      </w:r>
      <w:r w:rsidR="00350BBE">
        <w:t xml:space="preserve">, desencadenándose por factores como el estrés debido a la alteración hormonal. </w:t>
      </w:r>
    </w:p>
    <w:p w14:paraId="13FA854E" w14:textId="77777777" w:rsidR="005A7584" w:rsidRDefault="005A7584" w:rsidP="00F87F54">
      <w:pPr>
        <w:pStyle w:val="Textoindependiente"/>
        <w:spacing w:before="9"/>
        <w:jc w:val="both"/>
        <w:rPr>
          <w:sz w:val="20"/>
        </w:rPr>
      </w:pPr>
    </w:p>
    <w:p w14:paraId="13FA854F" w14:textId="77777777" w:rsidR="005A7584" w:rsidRDefault="008B2978" w:rsidP="00F87F54">
      <w:pPr>
        <w:pStyle w:val="Ttulo1"/>
        <w:jc w:val="both"/>
      </w:pPr>
      <w:bookmarkStart w:id="2" w:name="_bookmark2"/>
      <w:bookmarkEnd w:id="2"/>
      <w:r>
        <w:t>Objetivo</w:t>
      </w:r>
    </w:p>
    <w:p w14:paraId="13FA8550" w14:textId="77777777" w:rsidR="005A7584" w:rsidRDefault="008B2978" w:rsidP="00F87F54">
      <w:pPr>
        <w:pStyle w:val="Ttulo2"/>
      </w:pPr>
      <w:bookmarkStart w:id="3" w:name="_bookmark3"/>
      <w:bookmarkEnd w:id="3"/>
      <w:r>
        <w:t>Objetivo</w:t>
      </w:r>
      <w:r>
        <w:rPr>
          <w:spacing w:val="-11"/>
        </w:rPr>
        <w:t xml:space="preserve"> </w:t>
      </w:r>
      <w:r>
        <w:t>general</w:t>
      </w:r>
    </w:p>
    <w:p w14:paraId="13FA8551" w14:textId="799605C4" w:rsidR="005A7584" w:rsidRDefault="008B2978" w:rsidP="00F87F54">
      <w:pPr>
        <w:pStyle w:val="Textoindependiente"/>
        <w:spacing w:before="22"/>
        <w:ind w:left="382" w:right="856"/>
        <w:jc w:val="both"/>
      </w:pPr>
      <w:r>
        <w:t xml:space="preserve">Identificar si las mujeres sufren del síndrome de ovario poliquístico </w:t>
      </w:r>
      <w:r w:rsidR="00350BBE">
        <w:t xml:space="preserve">y </w:t>
      </w:r>
      <w:r>
        <w:t>mejora</w:t>
      </w:r>
      <w:r w:rsidR="00350BBE">
        <w:t>r</w:t>
      </w:r>
      <w:r>
        <w:t xml:space="preserve"> su calidad</w:t>
      </w:r>
      <w:r>
        <w:rPr>
          <w:spacing w:val="-3"/>
        </w:rPr>
        <w:t xml:space="preserve"> </w:t>
      </w:r>
      <w:r>
        <w:t>de vida.</w:t>
      </w:r>
    </w:p>
    <w:p w14:paraId="13FA8552" w14:textId="77777777" w:rsidR="005A7584" w:rsidRDefault="008B2978" w:rsidP="00F87F54">
      <w:pPr>
        <w:pStyle w:val="Ttulo2"/>
        <w:spacing w:before="161"/>
      </w:pPr>
      <w:bookmarkStart w:id="4" w:name="_bookmark4"/>
      <w:bookmarkEnd w:id="4"/>
      <w:r>
        <w:t>Objetivos</w:t>
      </w:r>
      <w:r>
        <w:rPr>
          <w:spacing w:val="-15"/>
        </w:rPr>
        <w:t xml:space="preserve"> </w:t>
      </w:r>
      <w:r>
        <w:t>específicos</w:t>
      </w:r>
    </w:p>
    <w:p w14:paraId="13FA8553" w14:textId="708610C4" w:rsidR="005A7584" w:rsidRDefault="008B2978" w:rsidP="00F87F54">
      <w:pPr>
        <w:pStyle w:val="Textoindependiente"/>
        <w:spacing w:before="24"/>
        <w:ind w:left="382" w:right="858"/>
        <w:jc w:val="both"/>
      </w:pPr>
      <w:r>
        <w:t>Específico 1</w:t>
      </w:r>
      <w:r w:rsidR="004E2A7D">
        <w:t>: identificar las causas y factores desencadenantes de síndrome de ovario poliquístico.</w:t>
      </w:r>
    </w:p>
    <w:p w14:paraId="0A3D65A9" w14:textId="27FFD0D1" w:rsidR="00E2035B" w:rsidRDefault="008B2978" w:rsidP="00350BBE">
      <w:pPr>
        <w:pStyle w:val="Textoindependiente"/>
        <w:spacing w:before="159"/>
        <w:ind w:left="382" w:right="864"/>
        <w:jc w:val="both"/>
      </w:pPr>
      <w:r>
        <w:t>Especifico</w:t>
      </w:r>
      <w:r>
        <w:rPr>
          <w:spacing w:val="1"/>
        </w:rPr>
        <w:t xml:space="preserve"> </w:t>
      </w:r>
      <w:r>
        <w:t>2:</w:t>
      </w:r>
      <w:r>
        <w:rPr>
          <w:spacing w:val="1"/>
        </w:rPr>
        <w:t xml:space="preserve"> </w:t>
      </w:r>
      <w:r>
        <w:t>Identificar</w:t>
      </w:r>
      <w:r>
        <w:rPr>
          <w:spacing w:val="1"/>
        </w:rPr>
        <w:t xml:space="preserve"> </w:t>
      </w:r>
      <w:r>
        <w:t>las</w:t>
      </w:r>
      <w:r>
        <w:rPr>
          <w:spacing w:val="1"/>
        </w:rPr>
        <w:t xml:space="preserve"> </w:t>
      </w:r>
      <w:r>
        <w:t>manifestaciones</w:t>
      </w:r>
      <w:r>
        <w:rPr>
          <w:spacing w:val="1"/>
        </w:rPr>
        <w:t xml:space="preserve"> </w:t>
      </w:r>
      <w:r>
        <w:t>clínicas</w:t>
      </w:r>
      <w:r>
        <w:rPr>
          <w:spacing w:val="1"/>
        </w:rPr>
        <w:t xml:space="preserve"> </w:t>
      </w:r>
      <w:r>
        <w:t>del</w:t>
      </w:r>
      <w:r>
        <w:rPr>
          <w:spacing w:val="1"/>
        </w:rPr>
        <w:t xml:space="preserve"> </w:t>
      </w:r>
      <w:r>
        <w:t>síndrome</w:t>
      </w:r>
      <w:r>
        <w:rPr>
          <w:spacing w:val="1"/>
        </w:rPr>
        <w:t xml:space="preserve"> </w:t>
      </w:r>
      <w:r>
        <w:t>de</w:t>
      </w:r>
      <w:r>
        <w:rPr>
          <w:spacing w:val="1"/>
        </w:rPr>
        <w:t xml:space="preserve"> </w:t>
      </w:r>
      <w:r>
        <w:t>ovario</w:t>
      </w:r>
      <w:r>
        <w:rPr>
          <w:spacing w:val="1"/>
        </w:rPr>
        <w:t xml:space="preserve"> </w:t>
      </w:r>
      <w:r>
        <w:t>poliquístico</w:t>
      </w:r>
      <w:r>
        <w:rPr>
          <w:spacing w:val="-1"/>
        </w:rPr>
        <w:t xml:space="preserve"> </w:t>
      </w:r>
      <w:r>
        <w:t>en las</w:t>
      </w:r>
      <w:r>
        <w:rPr>
          <w:spacing w:val="-2"/>
        </w:rPr>
        <w:t xml:space="preserve"> </w:t>
      </w:r>
      <w:r>
        <w:t>participantes del</w:t>
      </w:r>
      <w:r>
        <w:rPr>
          <w:spacing w:val="-3"/>
        </w:rPr>
        <w:t xml:space="preserve"> </w:t>
      </w:r>
      <w:r>
        <w:t>estudio.</w:t>
      </w:r>
      <w:bookmarkStart w:id="5" w:name="_bookmark5"/>
      <w:bookmarkEnd w:id="5"/>
    </w:p>
    <w:p w14:paraId="79842818" w14:textId="77777777" w:rsidR="00350BBE" w:rsidRDefault="00350BBE" w:rsidP="00350BBE">
      <w:pPr>
        <w:pStyle w:val="Textoindependiente"/>
        <w:spacing w:before="159"/>
        <w:ind w:left="382" w:right="864"/>
        <w:jc w:val="both"/>
      </w:pPr>
    </w:p>
    <w:p w14:paraId="13FA8556" w14:textId="2765DF89" w:rsidR="005A7584" w:rsidRDefault="008B2978" w:rsidP="00F87F54">
      <w:pPr>
        <w:pStyle w:val="Ttulo1"/>
        <w:jc w:val="both"/>
      </w:pPr>
      <w:r>
        <w:t>Diseño</w:t>
      </w:r>
      <w:r>
        <w:rPr>
          <w:spacing w:val="-8"/>
        </w:rPr>
        <w:t xml:space="preserve"> </w:t>
      </w:r>
      <w:r>
        <w:t>metodológico</w:t>
      </w:r>
    </w:p>
    <w:p w14:paraId="13FA8558" w14:textId="6515C71B" w:rsidR="005A7584" w:rsidRDefault="008B2978" w:rsidP="00350BBE">
      <w:pPr>
        <w:pStyle w:val="Textoindependiente"/>
        <w:spacing w:before="28"/>
        <w:ind w:left="382" w:right="855"/>
        <w:jc w:val="both"/>
        <w:sectPr w:rsidR="005A7584" w:rsidSect="0058288F">
          <w:pgSz w:w="12240" w:h="15840"/>
          <w:pgMar w:top="1417" w:right="1701" w:bottom="1417" w:left="1701" w:header="720" w:footer="720" w:gutter="0"/>
          <w:cols w:space="720"/>
        </w:sectPr>
      </w:pPr>
      <w:r>
        <w:t>Se representa la ejecución metodológica aplicada en la investigación usando un</w:t>
      </w:r>
      <w:r>
        <w:rPr>
          <w:spacing w:val="1"/>
        </w:rPr>
        <w:t xml:space="preserve"> </w:t>
      </w:r>
      <w:r>
        <w:t>estudio</w:t>
      </w:r>
      <w:r>
        <w:rPr>
          <w:spacing w:val="-8"/>
        </w:rPr>
        <w:t xml:space="preserve"> </w:t>
      </w:r>
      <w:r>
        <w:t>cua</w:t>
      </w:r>
      <w:r w:rsidR="00350BBE">
        <w:t>nt</w:t>
      </w:r>
      <w:r>
        <w:t>itativo</w:t>
      </w:r>
      <w:r>
        <w:rPr>
          <w:spacing w:val="-8"/>
        </w:rPr>
        <w:t xml:space="preserve"> </w:t>
      </w:r>
      <w:r>
        <w:t>fenomenológico</w:t>
      </w:r>
      <w:r>
        <w:rPr>
          <w:spacing w:val="-8"/>
        </w:rPr>
        <w:t xml:space="preserve"> </w:t>
      </w:r>
      <w:r>
        <w:t>en</w:t>
      </w:r>
      <w:r>
        <w:rPr>
          <w:spacing w:val="-11"/>
        </w:rPr>
        <w:t xml:space="preserve"> </w:t>
      </w:r>
      <w:r>
        <w:t>el</w:t>
      </w:r>
      <w:r>
        <w:rPr>
          <w:spacing w:val="-9"/>
        </w:rPr>
        <w:t xml:space="preserve"> </w:t>
      </w:r>
      <w:r>
        <w:t>cual</w:t>
      </w:r>
      <w:r>
        <w:rPr>
          <w:spacing w:val="-12"/>
        </w:rPr>
        <w:t xml:space="preserve"> </w:t>
      </w:r>
      <w:r>
        <w:t>se</w:t>
      </w:r>
      <w:r>
        <w:rPr>
          <w:spacing w:val="-8"/>
        </w:rPr>
        <w:t xml:space="preserve"> </w:t>
      </w:r>
      <w:r>
        <w:t>utilizará</w:t>
      </w:r>
      <w:r>
        <w:rPr>
          <w:spacing w:val="-9"/>
        </w:rPr>
        <w:t xml:space="preserve"> </w:t>
      </w:r>
      <w:r>
        <w:t>el</w:t>
      </w:r>
      <w:r>
        <w:rPr>
          <w:spacing w:val="-12"/>
        </w:rPr>
        <w:t xml:space="preserve"> </w:t>
      </w:r>
      <w:r>
        <w:t>muestreo</w:t>
      </w:r>
      <w:r>
        <w:rPr>
          <w:spacing w:val="-10"/>
        </w:rPr>
        <w:t xml:space="preserve"> </w:t>
      </w:r>
      <w:r>
        <w:t>intencional.</w:t>
      </w:r>
      <w:r>
        <w:rPr>
          <w:spacing w:val="-9"/>
        </w:rPr>
        <w:t xml:space="preserve"> </w:t>
      </w:r>
      <w:r w:rsidR="00350BBE">
        <w:t xml:space="preserve">La presente </w:t>
      </w:r>
      <w:r>
        <w:t xml:space="preserve">investigación </w:t>
      </w:r>
      <w:r w:rsidR="004E2A7D">
        <w:t>realizara una pequeña encuesta</w:t>
      </w:r>
      <w:r>
        <w:t xml:space="preserve"> a un grupo mujeres con el síndrome de</w:t>
      </w:r>
      <w:r>
        <w:rPr>
          <w:spacing w:val="1"/>
        </w:rPr>
        <w:t xml:space="preserve"> </w:t>
      </w:r>
      <w:r>
        <w:t>ovario</w:t>
      </w:r>
      <w:r>
        <w:rPr>
          <w:spacing w:val="-6"/>
        </w:rPr>
        <w:t xml:space="preserve"> </w:t>
      </w:r>
      <w:r>
        <w:t>poliquístico</w:t>
      </w:r>
      <w:r>
        <w:rPr>
          <w:spacing w:val="-6"/>
        </w:rPr>
        <w:t xml:space="preserve"> </w:t>
      </w:r>
      <w:r>
        <w:t>que</w:t>
      </w:r>
      <w:r>
        <w:rPr>
          <w:spacing w:val="-7"/>
        </w:rPr>
        <w:t xml:space="preserve"> </w:t>
      </w:r>
      <w:r>
        <w:t>radican</w:t>
      </w:r>
      <w:r>
        <w:rPr>
          <w:spacing w:val="-7"/>
        </w:rPr>
        <w:t xml:space="preserve"> </w:t>
      </w:r>
      <w:r>
        <w:t>en</w:t>
      </w:r>
      <w:r>
        <w:rPr>
          <w:spacing w:val="-8"/>
        </w:rPr>
        <w:t xml:space="preserve"> </w:t>
      </w:r>
      <w:r>
        <w:t>San</w:t>
      </w:r>
      <w:r>
        <w:rPr>
          <w:spacing w:val="-7"/>
        </w:rPr>
        <w:t xml:space="preserve"> </w:t>
      </w:r>
      <w:r>
        <w:t>Cristóbal</w:t>
      </w:r>
      <w:r>
        <w:rPr>
          <w:spacing w:val="-7"/>
        </w:rPr>
        <w:t xml:space="preserve"> </w:t>
      </w:r>
      <w:r>
        <w:t>de</w:t>
      </w:r>
      <w:r>
        <w:rPr>
          <w:spacing w:val="-7"/>
        </w:rPr>
        <w:t xml:space="preserve"> </w:t>
      </w:r>
      <w:r>
        <w:t>las</w:t>
      </w:r>
      <w:r>
        <w:rPr>
          <w:spacing w:val="-6"/>
        </w:rPr>
        <w:t xml:space="preserve"> </w:t>
      </w:r>
      <w:r>
        <w:t>Casas,</w:t>
      </w:r>
      <w:r>
        <w:rPr>
          <w:spacing w:val="-5"/>
        </w:rPr>
        <w:t xml:space="preserve"> </w:t>
      </w:r>
      <w:r>
        <w:t>Chiapas,</w:t>
      </w:r>
      <w:r>
        <w:rPr>
          <w:spacing w:val="-6"/>
        </w:rPr>
        <w:t xml:space="preserve"> </w:t>
      </w:r>
      <w:r>
        <w:t>Méxic</w:t>
      </w:r>
      <w:r w:rsidR="00350BBE">
        <w:t>o</w:t>
      </w:r>
      <w:r w:rsidR="00350BBE" w:rsidRPr="00350BBE">
        <w:t xml:space="preserve"> </w:t>
      </w:r>
      <w:r w:rsidR="00350BBE" w:rsidRPr="00350BBE">
        <w:t>y la muestra, además de hacer un análisis de su diagnóstico, factores de riesgo, tratamiento, causas y consecuencias</w:t>
      </w:r>
      <w:r w:rsidR="00350BBE">
        <w:t xml:space="preserve">, </w:t>
      </w:r>
      <w:r w:rsidR="004E2A7D">
        <w:t xml:space="preserve">se enfocara también en los desencadenantes y daños que se puedan presentar como </w:t>
      </w:r>
      <w:r w:rsidR="00350BBE">
        <w:t>personales,sociales,familiares</w:t>
      </w:r>
      <w:r w:rsidR="00350BBE" w:rsidRPr="00350BBE">
        <w:t>.</w:t>
      </w:r>
    </w:p>
    <w:p w14:paraId="13FA855A" w14:textId="77777777" w:rsidR="005A7584" w:rsidRDefault="008B2978" w:rsidP="00F87F54">
      <w:pPr>
        <w:pStyle w:val="Textoindependiente"/>
        <w:spacing w:before="160"/>
        <w:ind w:left="382" w:right="855"/>
        <w:jc w:val="both"/>
      </w:pPr>
      <w:r>
        <w:lastRenderedPageBreak/>
        <w:t>Los datos serán grabados y luego trascritos utilizando un programa, los resultados</w:t>
      </w:r>
      <w:r>
        <w:rPr>
          <w:spacing w:val="-64"/>
        </w:rPr>
        <w:t xml:space="preserve"> </w:t>
      </w:r>
      <w:r>
        <w:t>serán</w:t>
      </w:r>
      <w:r>
        <w:rPr>
          <w:spacing w:val="-4"/>
        </w:rPr>
        <w:t xml:space="preserve"> </w:t>
      </w:r>
      <w:r>
        <w:t>presentados</w:t>
      </w:r>
      <w:r>
        <w:rPr>
          <w:spacing w:val="-4"/>
        </w:rPr>
        <w:t xml:space="preserve"> </w:t>
      </w:r>
      <w:r>
        <w:t>en</w:t>
      </w:r>
      <w:r>
        <w:rPr>
          <w:spacing w:val="-4"/>
        </w:rPr>
        <w:t xml:space="preserve"> </w:t>
      </w:r>
      <w:r>
        <w:t>flujogramas</w:t>
      </w:r>
      <w:r>
        <w:rPr>
          <w:spacing w:val="-4"/>
        </w:rPr>
        <w:t xml:space="preserve"> </w:t>
      </w:r>
      <w:r>
        <w:t>o</w:t>
      </w:r>
      <w:r>
        <w:rPr>
          <w:spacing w:val="-4"/>
        </w:rPr>
        <w:t xml:space="preserve"> </w:t>
      </w:r>
      <w:r>
        <w:t>diagramas</w:t>
      </w:r>
      <w:r>
        <w:rPr>
          <w:spacing w:val="-2"/>
        </w:rPr>
        <w:t xml:space="preserve"> </w:t>
      </w:r>
      <w:r>
        <w:t>estadísticos,</w:t>
      </w:r>
      <w:r>
        <w:rPr>
          <w:spacing w:val="-4"/>
        </w:rPr>
        <w:t xml:space="preserve"> </w:t>
      </w:r>
      <w:r>
        <w:t>donde</w:t>
      </w:r>
      <w:r>
        <w:rPr>
          <w:spacing w:val="-5"/>
        </w:rPr>
        <w:t xml:space="preserve"> </w:t>
      </w:r>
      <w:r>
        <w:t>para</w:t>
      </w:r>
      <w:r>
        <w:rPr>
          <w:spacing w:val="-2"/>
        </w:rPr>
        <w:t xml:space="preserve"> </w:t>
      </w:r>
      <w:r>
        <w:t>guardar</w:t>
      </w:r>
      <w:r>
        <w:rPr>
          <w:spacing w:val="-2"/>
        </w:rPr>
        <w:t xml:space="preserve"> </w:t>
      </w:r>
      <w:r>
        <w:t>la</w:t>
      </w:r>
      <w:r>
        <w:rPr>
          <w:spacing w:val="-64"/>
        </w:rPr>
        <w:t xml:space="preserve"> </w:t>
      </w:r>
      <w:r>
        <w:t>confidencialidad y anonimato de las participantes, se utilizarán códigos frente a las</w:t>
      </w:r>
      <w:r>
        <w:rPr>
          <w:spacing w:val="-64"/>
        </w:rPr>
        <w:t xml:space="preserve"> </w:t>
      </w:r>
      <w:r>
        <w:t>citas, que hacen referencia a la edad y estado civil de las mismas, entendiéndose</w:t>
      </w:r>
      <w:r>
        <w:rPr>
          <w:spacing w:val="1"/>
        </w:rPr>
        <w:t xml:space="preserve"> </w:t>
      </w:r>
      <w:r>
        <w:t>el código P4-24-s de esta manera: P4=Participante 4, - 24 = 24 años – s= soltera;</w:t>
      </w:r>
      <w:r>
        <w:rPr>
          <w:spacing w:val="1"/>
        </w:rPr>
        <w:t xml:space="preserve"> </w:t>
      </w:r>
      <w:r>
        <w:t>se</w:t>
      </w:r>
      <w:r>
        <w:rPr>
          <w:spacing w:val="-1"/>
        </w:rPr>
        <w:t xml:space="preserve"> </w:t>
      </w:r>
      <w:r>
        <w:t>= separada; c = casada.</w:t>
      </w:r>
    </w:p>
    <w:p w14:paraId="13FA855B" w14:textId="77777777" w:rsidR="005A7584" w:rsidRDefault="005A7584" w:rsidP="00F87F54">
      <w:pPr>
        <w:pStyle w:val="Textoindependiente"/>
        <w:spacing w:before="1"/>
        <w:jc w:val="both"/>
        <w:rPr>
          <w:sz w:val="21"/>
        </w:rPr>
      </w:pPr>
    </w:p>
    <w:p w14:paraId="13FA855D" w14:textId="1EB28135" w:rsidR="00FB248E" w:rsidRDefault="008B2978" w:rsidP="00F87F54">
      <w:pPr>
        <w:pStyle w:val="Ttulo1"/>
        <w:spacing w:before="1"/>
        <w:jc w:val="both"/>
      </w:pPr>
      <w:bookmarkStart w:id="6" w:name="_bookmark6"/>
      <w:bookmarkEnd w:id="6"/>
      <w:r>
        <w:t>Marco</w:t>
      </w:r>
      <w:r>
        <w:rPr>
          <w:spacing w:val="-7"/>
        </w:rPr>
        <w:t xml:space="preserve"> </w:t>
      </w:r>
      <w:r>
        <w:t>teórico</w:t>
      </w:r>
    </w:p>
    <w:p w14:paraId="13FA855E" w14:textId="77777777" w:rsidR="00FB248E" w:rsidRPr="00A9150D" w:rsidRDefault="00FB248E" w:rsidP="00F87F54">
      <w:pPr>
        <w:pStyle w:val="Textoindependiente"/>
        <w:spacing w:before="26"/>
        <w:ind w:left="382" w:right="860"/>
        <w:jc w:val="both"/>
        <w:rPr>
          <w:b/>
        </w:rPr>
      </w:pPr>
      <w:r w:rsidRPr="00A9150D">
        <w:rPr>
          <w:b/>
        </w:rPr>
        <w:t xml:space="preserve">Epidemiologia </w:t>
      </w:r>
    </w:p>
    <w:p w14:paraId="13FA855F" w14:textId="77777777" w:rsidR="00FB248E" w:rsidRDefault="008B2978" w:rsidP="00F87F54">
      <w:pPr>
        <w:pStyle w:val="Textoindependiente"/>
        <w:spacing w:before="26"/>
        <w:ind w:left="382" w:right="860"/>
        <w:jc w:val="both"/>
      </w:pPr>
      <w:r>
        <w:t>El síndrome de ovario poliquistico (SOP) constituye a uno de los problemas en las</w:t>
      </w:r>
      <w:r>
        <w:rPr>
          <w:spacing w:val="1"/>
        </w:rPr>
        <w:t xml:space="preserve"> </w:t>
      </w:r>
      <w:r>
        <w:t>mujeres</w:t>
      </w:r>
      <w:r>
        <w:rPr>
          <w:spacing w:val="-17"/>
        </w:rPr>
        <w:t xml:space="preserve"> </w:t>
      </w:r>
      <w:r>
        <w:t>en</w:t>
      </w:r>
      <w:r>
        <w:rPr>
          <w:spacing w:val="-13"/>
        </w:rPr>
        <w:t xml:space="preserve"> </w:t>
      </w:r>
      <w:r>
        <w:t>México,</w:t>
      </w:r>
      <w:r>
        <w:rPr>
          <w:spacing w:val="-13"/>
        </w:rPr>
        <w:t xml:space="preserve"> </w:t>
      </w:r>
      <w:r>
        <w:t>principalmente</w:t>
      </w:r>
      <w:r>
        <w:rPr>
          <w:spacing w:val="-13"/>
        </w:rPr>
        <w:t xml:space="preserve"> </w:t>
      </w:r>
      <w:r>
        <w:t>en</w:t>
      </w:r>
      <w:r>
        <w:rPr>
          <w:spacing w:val="-13"/>
        </w:rPr>
        <w:t xml:space="preserve"> </w:t>
      </w:r>
      <w:r>
        <w:t>las</w:t>
      </w:r>
      <w:r>
        <w:rPr>
          <w:spacing w:val="-13"/>
        </w:rPr>
        <w:t xml:space="preserve"> </w:t>
      </w:r>
      <w:r>
        <w:t>zonas</w:t>
      </w:r>
      <w:r>
        <w:rPr>
          <w:spacing w:val="-14"/>
        </w:rPr>
        <w:t xml:space="preserve"> </w:t>
      </w:r>
      <w:r>
        <w:t>rurales</w:t>
      </w:r>
      <w:r>
        <w:rPr>
          <w:spacing w:val="-14"/>
        </w:rPr>
        <w:t xml:space="preserve"> </w:t>
      </w:r>
      <w:r>
        <w:t>y</w:t>
      </w:r>
      <w:r>
        <w:rPr>
          <w:spacing w:val="-15"/>
        </w:rPr>
        <w:t xml:space="preserve"> </w:t>
      </w:r>
      <w:r>
        <w:t>urbanas.</w:t>
      </w:r>
      <w:r>
        <w:rPr>
          <w:spacing w:val="-13"/>
        </w:rPr>
        <w:t xml:space="preserve"> </w:t>
      </w:r>
      <w:r>
        <w:t>En</w:t>
      </w:r>
      <w:r>
        <w:rPr>
          <w:spacing w:val="-13"/>
        </w:rPr>
        <w:t xml:space="preserve"> </w:t>
      </w:r>
      <w:r>
        <w:t>México,</w:t>
      </w:r>
      <w:r>
        <w:rPr>
          <w:spacing w:val="-13"/>
        </w:rPr>
        <w:t xml:space="preserve"> </w:t>
      </w:r>
      <w:r>
        <w:t>entre</w:t>
      </w:r>
      <w:r>
        <w:rPr>
          <w:spacing w:val="-64"/>
        </w:rPr>
        <w:t xml:space="preserve"> </w:t>
      </w:r>
      <w:r>
        <w:t>6</w:t>
      </w:r>
      <w:r>
        <w:rPr>
          <w:spacing w:val="-6"/>
        </w:rPr>
        <w:t xml:space="preserve"> </w:t>
      </w:r>
      <w:r>
        <w:t>y</w:t>
      </w:r>
      <w:r>
        <w:rPr>
          <w:spacing w:val="-6"/>
        </w:rPr>
        <w:t xml:space="preserve"> </w:t>
      </w:r>
      <w:r>
        <w:t>10</w:t>
      </w:r>
      <w:r>
        <w:rPr>
          <w:spacing w:val="-7"/>
        </w:rPr>
        <w:t xml:space="preserve"> </w:t>
      </w:r>
      <w:r>
        <w:t>por</w:t>
      </w:r>
      <w:r>
        <w:rPr>
          <w:spacing w:val="-7"/>
        </w:rPr>
        <w:t xml:space="preserve"> </w:t>
      </w:r>
      <w:r>
        <w:t>ciento</w:t>
      </w:r>
      <w:r>
        <w:rPr>
          <w:spacing w:val="-5"/>
        </w:rPr>
        <w:t xml:space="preserve"> </w:t>
      </w:r>
      <w:r>
        <w:t>de</w:t>
      </w:r>
      <w:r>
        <w:rPr>
          <w:spacing w:val="-5"/>
        </w:rPr>
        <w:t xml:space="preserve"> </w:t>
      </w:r>
      <w:r>
        <w:t>las</w:t>
      </w:r>
      <w:r>
        <w:rPr>
          <w:spacing w:val="-8"/>
        </w:rPr>
        <w:t xml:space="preserve"> </w:t>
      </w:r>
      <w:r>
        <w:t>mujeres</w:t>
      </w:r>
      <w:r>
        <w:rPr>
          <w:spacing w:val="-9"/>
        </w:rPr>
        <w:t xml:space="preserve"> </w:t>
      </w:r>
      <w:r>
        <w:t>en</w:t>
      </w:r>
      <w:r>
        <w:rPr>
          <w:spacing w:val="-7"/>
        </w:rPr>
        <w:t xml:space="preserve"> </w:t>
      </w:r>
      <w:r>
        <w:t>edad</w:t>
      </w:r>
      <w:r>
        <w:rPr>
          <w:spacing w:val="-5"/>
        </w:rPr>
        <w:t xml:space="preserve"> </w:t>
      </w:r>
      <w:r>
        <w:t>reproductiva</w:t>
      </w:r>
      <w:r>
        <w:rPr>
          <w:spacing w:val="-5"/>
        </w:rPr>
        <w:t xml:space="preserve"> </w:t>
      </w:r>
      <w:r>
        <w:t>padece</w:t>
      </w:r>
      <w:r>
        <w:rPr>
          <w:spacing w:val="-8"/>
        </w:rPr>
        <w:t xml:space="preserve"> </w:t>
      </w:r>
      <w:r>
        <w:t>SOP,</w:t>
      </w:r>
      <w:r w:rsidR="00FB248E" w:rsidRPr="00FB248E">
        <w:t xml:space="preserve"> </w:t>
      </w:r>
      <w:r w:rsidR="00FB248E">
        <w:t>El síndrome de ovario poliquístico es conocido como un trastorno endócrino metabólico más común entre las mujeres en edad reproductiva, afectando aproximadamente en un 5% a 10% de todas las mujeres. En la actualidad el síndrome de ovario poliquístico se ha relacionado con problemas ginecológicos, endocrinológicos, cardiovasculares y metabólicos en donde se encuentran patologías como obesidad, hipertensión, dislipidemia, diabetes mellitus tipo 2</w:t>
      </w:r>
      <w:r w:rsidR="00C455E5">
        <w:t>.</w:t>
      </w:r>
    </w:p>
    <w:p w14:paraId="13FA8560" w14:textId="77777777" w:rsidR="00FB248E" w:rsidRPr="00A9150D" w:rsidRDefault="00C455E5" w:rsidP="00F87F54">
      <w:pPr>
        <w:pStyle w:val="Textoindependiente"/>
        <w:spacing w:before="26"/>
        <w:ind w:left="382" w:right="860"/>
        <w:jc w:val="both"/>
        <w:rPr>
          <w:b/>
          <w:spacing w:val="-10"/>
        </w:rPr>
      </w:pPr>
      <w:r w:rsidRPr="00A9150D">
        <w:rPr>
          <w:b/>
          <w:spacing w:val="-10"/>
        </w:rPr>
        <w:t xml:space="preserve">Fisiología </w:t>
      </w:r>
    </w:p>
    <w:p w14:paraId="13FA8561" w14:textId="77777777" w:rsidR="00C455E5" w:rsidRDefault="00C455E5" w:rsidP="00F87F54">
      <w:pPr>
        <w:pStyle w:val="Textoindependiente"/>
        <w:spacing w:before="26"/>
        <w:ind w:left="382" w:right="860"/>
        <w:jc w:val="both"/>
        <w:rPr>
          <w:spacing w:val="-10"/>
        </w:rPr>
      </w:pPr>
      <w:r w:rsidRPr="00C455E5">
        <w:rPr>
          <w:spacing w:val="-10"/>
        </w:rPr>
        <w:t>Los ovarios son glándulas femeninas intraperitoneales pareadas, que tienen su ubicación en la pelvis.</w:t>
      </w:r>
      <w:r>
        <w:rPr>
          <w:spacing w:val="-10"/>
        </w:rPr>
        <w:t xml:space="preserve"> Sus funciones principales son: </w:t>
      </w:r>
    </w:p>
    <w:p w14:paraId="13FA8562" w14:textId="77777777" w:rsidR="00C455E5" w:rsidRPr="00C455E5" w:rsidRDefault="00C455E5" w:rsidP="00F87F54">
      <w:pPr>
        <w:pStyle w:val="Textoindependiente"/>
        <w:numPr>
          <w:ilvl w:val="0"/>
          <w:numId w:val="1"/>
        </w:numPr>
        <w:spacing w:before="26"/>
        <w:ind w:right="860"/>
        <w:jc w:val="both"/>
        <w:rPr>
          <w:spacing w:val="-10"/>
        </w:rPr>
      </w:pPr>
      <w:r w:rsidRPr="00C455E5">
        <w:rPr>
          <w:spacing w:val="-10"/>
        </w:rPr>
        <w:t>Gametogénesis, o la producción de los gametos femeninos (ovocitos u oocitos).</w:t>
      </w:r>
    </w:p>
    <w:p w14:paraId="13FA8563" w14:textId="77777777" w:rsidR="00C455E5" w:rsidRPr="00C455E5" w:rsidRDefault="00C455E5" w:rsidP="00F87F54">
      <w:pPr>
        <w:pStyle w:val="Textoindependiente"/>
        <w:numPr>
          <w:ilvl w:val="0"/>
          <w:numId w:val="1"/>
        </w:numPr>
        <w:spacing w:before="26"/>
        <w:ind w:right="860"/>
        <w:jc w:val="both"/>
        <w:rPr>
          <w:spacing w:val="-10"/>
        </w:rPr>
      </w:pPr>
      <w:r w:rsidRPr="00C455E5">
        <w:rPr>
          <w:spacing w:val="-10"/>
        </w:rPr>
        <w:t>Producción de hormonas esteroideas (estrógeno y progesterona), también llamada esteroidogénesis.</w:t>
      </w:r>
    </w:p>
    <w:p w14:paraId="13FA8567" w14:textId="53D6B3B1" w:rsidR="00C455E5" w:rsidRDefault="00C455E5" w:rsidP="00F87F54">
      <w:pPr>
        <w:pStyle w:val="Textoindependiente"/>
        <w:spacing w:before="26"/>
        <w:ind w:left="382" w:right="860"/>
        <w:jc w:val="both"/>
        <w:rPr>
          <w:spacing w:val="-10"/>
        </w:rPr>
      </w:pPr>
      <w:r w:rsidRPr="00C455E5">
        <w:rPr>
          <w:spacing w:val="-10"/>
        </w:rPr>
        <w:t>Los ovarios ocupan un lugar muy importante en la vida de las mujeres reproductivamente maduras, debido a que tienen una gran influencia en la homeostasis hormonal y la función reproductiva.</w:t>
      </w:r>
    </w:p>
    <w:p w14:paraId="3398DEE8" w14:textId="77777777" w:rsidR="00523926" w:rsidRPr="00523926" w:rsidRDefault="00523926" w:rsidP="00F87F54">
      <w:pPr>
        <w:pStyle w:val="Textoindependiente"/>
        <w:spacing w:before="26"/>
        <w:ind w:left="382" w:right="860"/>
        <w:jc w:val="both"/>
        <w:rPr>
          <w:spacing w:val="-10"/>
        </w:rPr>
      </w:pPr>
    </w:p>
    <w:p w14:paraId="13FA8568" w14:textId="77777777" w:rsidR="00C455E5" w:rsidRPr="00A9150D" w:rsidRDefault="00C455E5" w:rsidP="00F87F54">
      <w:pPr>
        <w:pStyle w:val="Textoindependiente"/>
        <w:spacing w:before="26"/>
        <w:ind w:left="382" w:right="860"/>
        <w:jc w:val="both"/>
        <w:rPr>
          <w:b/>
        </w:rPr>
      </w:pPr>
      <w:r w:rsidRPr="00A9150D">
        <w:rPr>
          <w:b/>
        </w:rPr>
        <w:t xml:space="preserve">Fisiopatología </w:t>
      </w:r>
    </w:p>
    <w:p w14:paraId="13FA8569" w14:textId="77777777" w:rsidR="005A7584" w:rsidRDefault="00C455E5" w:rsidP="00F87F54">
      <w:pPr>
        <w:pStyle w:val="Textoindependiente"/>
        <w:spacing w:before="26"/>
        <w:ind w:left="382" w:right="860"/>
        <w:jc w:val="both"/>
      </w:pPr>
      <w:r>
        <w:t xml:space="preserve">Esta es una </w:t>
      </w:r>
      <w:r w:rsidR="008B2978">
        <w:t>enfermedad</w:t>
      </w:r>
      <w:r w:rsidR="008B2978">
        <w:rPr>
          <w:spacing w:val="-7"/>
        </w:rPr>
        <w:t xml:space="preserve"> </w:t>
      </w:r>
      <w:r w:rsidR="008B2978">
        <w:t>en</w:t>
      </w:r>
      <w:r w:rsidR="008B2978">
        <w:rPr>
          <w:spacing w:val="-64"/>
        </w:rPr>
        <w:t xml:space="preserve"> </w:t>
      </w:r>
      <w:r w:rsidR="008B2978">
        <w:t>la que existe un desequilibrio de hormonas sexuales, provocando cambios en el</w:t>
      </w:r>
      <w:r w:rsidR="008B2978">
        <w:rPr>
          <w:spacing w:val="1"/>
        </w:rPr>
        <w:t xml:space="preserve"> </w:t>
      </w:r>
      <w:r w:rsidR="008B2978">
        <w:t>ciclo</w:t>
      </w:r>
      <w:r w:rsidR="008B2978">
        <w:rPr>
          <w:spacing w:val="-8"/>
        </w:rPr>
        <w:t xml:space="preserve"> </w:t>
      </w:r>
      <w:r w:rsidR="008B2978">
        <w:t>menstrual,</w:t>
      </w:r>
      <w:r w:rsidR="008B2978">
        <w:rPr>
          <w:spacing w:val="-10"/>
        </w:rPr>
        <w:t xml:space="preserve"> </w:t>
      </w:r>
      <w:r w:rsidR="008B2978">
        <w:t>quistes,</w:t>
      </w:r>
      <w:r w:rsidR="008B2978">
        <w:rPr>
          <w:spacing w:val="-7"/>
        </w:rPr>
        <w:t xml:space="preserve"> </w:t>
      </w:r>
      <w:r w:rsidR="008B2978">
        <w:t>dificultad</w:t>
      </w:r>
      <w:r w:rsidR="008B2978">
        <w:rPr>
          <w:spacing w:val="-9"/>
        </w:rPr>
        <w:t xml:space="preserve"> </w:t>
      </w:r>
      <w:r w:rsidR="008B2978">
        <w:t>para</w:t>
      </w:r>
      <w:r w:rsidR="008B2978">
        <w:rPr>
          <w:spacing w:val="-7"/>
        </w:rPr>
        <w:t xml:space="preserve"> </w:t>
      </w:r>
      <w:r w:rsidR="008B2978">
        <w:t>quedar</w:t>
      </w:r>
      <w:r w:rsidR="008B2978">
        <w:rPr>
          <w:spacing w:val="-8"/>
        </w:rPr>
        <w:t xml:space="preserve"> </w:t>
      </w:r>
      <w:r w:rsidR="008B2978">
        <w:t>embarazada,</w:t>
      </w:r>
      <w:r w:rsidR="008B2978">
        <w:rPr>
          <w:spacing w:val="-7"/>
        </w:rPr>
        <w:t xml:space="preserve"> </w:t>
      </w:r>
      <w:r w:rsidR="008B2978">
        <w:t>dolores</w:t>
      </w:r>
      <w:r w:rsidR="008B2978">
        <w:rPr>
          <w:spacing w:val="-8"/>
        </w:rPr>
        <w:t xml:space="preserve"> </w:t>
      </w:r>
      <w:r w:rsidR="008B2978">
        <w:t>menstruales</w:t>
      </w:r>
      <w:r w:rsidR="008B2978">
        <w:rPr>
          <w:spacing w:val="-8"/>
        </w:rPr>
        <w:t xml:space="preserve"> </w:t>
      </w:r>
      <w:r w:rsidR="008B2978">
        <w:t>y,</w:t>
      </w:r>
      <w:r w:rsidR="008B2978">
        <w:rPr>
          <w:spacing w:val="-65"/>
        </w:rPr>
        <w:t xml:space="preserve"> </w:t>
      </w:r>
      <w:r w:rsidR="008B2978">
        <w:t>en</w:t>
      </w:r>
      <w:r w:rsidR="008B2978">
        <w:rPr>
          <w:spacing w:val="-1"/>
        </w:rPr>
        <w:t xml:space="preserve"> </w:t>
      </w:r>
      <w:r w:rsidR="008B2978">
        <w:t>el</w:t>
      </w:r>
      <w:r w:rsidR="008B2978">
        <w:rPr>
          <w:spacing w:val="-3"/>
        </w:rPr>
        <w:t xml:space="preserve"> </w:t>
      </w:r>
      <w:r w:rsidR="008B2978">
        <w:t>peor</w:t>
      </w:r>
      <w:r w:rsidR="008B2978">
        <w:rPr>
          <w:spacing w:val="-3"/>
        </w:rPr>
        <w:t xml:space="preserve"> </w:t>
      </w:r>
      <w:r w:rsidR="008B2978">
        <w:t>de los casos, cáncer</w:t>
      </w:r>
      <w:r w:rsidR="008B2978">
        <w:rPr>
          <w:spacing w:val="-1"/>
        </w:rPr>
        <w:t xml:space="preserve"> </w:t>
      </w:r>
      <w:r w:rsidR="008B2978">
        <w:t>de</w:t>
      </w:r>
      <w:r w:rsidR="008B2978">
        <w:rPr>
          <w:spacing w:val="-2"/>
        </w:rPr>
        <w:t xml:space="preserve"> </w:t>
      </w:r>
      <w:r w:rsidR="008B2978">
        <w:t>matriz.</w:t>
      </w:r>
    </w:p>
    <w:p w14:paraId="13FA856A" w14:textId="77777777" w:rsidR="005A7584" w:rsidRDefault="008B2978" w:rsidP="00F87F54">
      <w:pPr>
        <w:pStyle w:val="Textoindependiente"/>
        <w:spacing w:before="161"/>
        <w:ind w:left="382" w:right="862"/>
        <w:jc w:val="both"/>
      </w:pPr>
      <w:r>
        <w:t>En el caso del síndrome de ovario poliquístico, se forman muchos sacos pequeños</w:t>
      </w:r>
      <w:r>
        <w:rPr>
          <w:spacing w:val="-64"/>
        </w:rPr>
        <w:t xml:space="preserve"> </w:t>
      </w:r>
      <w:r>
        <w:rPr>
          <w:spacing w:val="-1"/>
        </w:rPr>
        <w:t>de</w:t>
      </w:r>
      <w:r>
        <w:rPr>
          <w:spacing w:val="-14"/>
        </w:rPr>
        <w:t xml:space="preserve"> </w:t>
      </w:r>
      <w:r>
        <w:rPr>
          <w:spacing w:val="-1"/>
        </w:rPr>
        <w:t>líquido</w:t>
      </w:r>
      <w:r>
        <w:rPr>
          <w:spacing w:val="-13"/>
        </w:rPr>
        <w:t xml:space="preserve"> </w:t>
      </w:r>
      <w:r>
        <w:rPr>
          <w:spacing w:val="-1"/>
        </w:rPr>
        <w:t>a</w:t>
      </w:r>
      <w:r>
        <w:rPr>
          <w:spacing w:val="-14"/>
        </w:rPr>
        <w:t xml:space="preserve"> </w:t>
      </w:r>
      <w:r>
        <w:rPr>
          <w:spacing w:val="-1"/>
        </w:rPr>
        <w:t>lo</w:t>
      </w:r>
      <w:r>
        <w:rPr>
          <w:spacing w:val="-14"/>
        </w:rPr>
        <w:t xml:space="preserve"> </w:t>
      </w:r>
      <w:r>
        <w:rPr>
          <w:spacing w:val="-1"/>
        </w:rPr>
        <w:t>largo</w:t>
      </w:r>
      <w:r>
        <w:rPr>
          <w:spacing w:val="-16"/>
        </w:rPr>
        <w:t xml:space="preserve"> </w:t>
      </w:r>
      <w:r>
        <w:rPr>
          <w:spacing w:val="-1"/>
        </w:rPr>
        <w:t>del</w:t>
      </w:r>
      <w:r>
        <w:rPr>
          <w:spacing w:val="-17"/>
        </w:rPr>
        <w:t xml:space="preserve"> </w:t>
      </w:r>
      <w:r>
        <w:t>borde</w:t>
      </w:r>
      <w:r>
        <w:rPr>
          <w:spacing w:val="-16"/>
        </w:rPr>
        <w:t xml:space="preserve"> </w:t>
      </w:r>
      <w:r>
        <w:t>exterior</w:t>
      </w:r>
      <w:r>
        <w:rPr>
          <w:spacing w:val="-15"/>
        </w:rPr>
        <w:t xml:space="preserve"> </w:t>
      </w:r>
      <w:r>
        <w:t>del</w:t>
      </w:r>
      <w:r>
        <w:rPr>
          <w:spacing w:val="-17"/>
        </w:rPr>
        <w:t xml:space="preserve"> </w:t>
      </w:r>
      <w:r>
        <w:t>ovario.</w:t>
      </w:r>
      <w:r>
        <w:rPr>
          <w:spacing w:val="-14"/>
        </w:rPr>
        <w:t xml:space="preserve"> </w:t>
      </w:r>
      <w:r>
        <w:t>Estos</w:t>
      </w:r>
      <w:r>
        <w:rPr>
          <w:spacing w:val="-13"/>
        </w:rPr>
        <w:t xml:space="preserve"> </w:t>
      </w:r>
      <w:r>
        <w:t>sacos</w:t>
      </w:r>
      <w:r>
        <w:rPr>
          <w:spacing w:val="-14"/>
        </w:rPr>
        <w:t xml:space="preserve"> </w:t>
      </w:r>
      <w:r>
        <w:t>se</w:t>
      </w:r>
      <w:r>
        <w:rPr>
          <w:spacing w:val="-16"/>
        </w:rPr>
        <w:t xml:space="preserve"> </w:t>
      </w:r>
      <w:r>
        <w:t>denominan</w:t>
      </w:r>
      <w:r>
        <w:rPr>
          <w:spacing w:val="-14"/>
        </w:rPr>
        <w:t xml:space="preserve"> </w:t>
      </w:r>
      <w:r>
        <w:t>quistes.</w:t>
      </w:r>
      <w:r>
        <w:rPr>
          <w:spacing w:val="-64"/>
        </w:rPr>
        <w:t xml:space="preserve"> </w:t>
      </w:r>
      <w:r>
        <w:t>Los pequeños quistes llenos de líquido contienen óvulos inmaduros. Estos quistes</w:t>
      </w:r>
      <w:r>
        <w:rPr>
          <w:spacing w:val="1"/>
        </w:rPr>
        <w:t xml:space="preserve"> </w:t>
      </w:r>
      <w:r>
        <w:t>se</w:t>
      </w:r>
      <w:r>
        <w:rPr>
          <w:spacing w:val="-1"/>
        </w:rPr>
        <w:t xml:space="preserve"> </w:t>
      </w:r>
      <w:r>
        <w:t>denominan</w:t>
      </w:r>
      <w:r>
        <w:rPr>
          <w:spacing w:val="-1"/>
        </w:rPr>
        <w:t xml:space="preserve"> </w:t>
      </w:r>
      <w:r>
        <w:t>folículos.</w:t>
      </w:r>
      <w:r>
        <w:rPr>
          <w:spacing w:val="-1"/>
        </w:rPr>
        <w:t xml:space="preserve"> </w:t>
      </w:r>
      <w:r>
        <w:t>Los</w:t>
      </w:r>
      <w:r>
        <w:rPr>
          <w:spacing w:val="-2"/>
        </w:rPr>
        <w:t xml:space="preserve"> </w:t>
      </w:r>
      <w:r>
        <w:t>folículos</w:t>
      </w:r>
      <w:r>
        <w:rPr>
          <w:spacing w:val="-1"/>
        </w:rPr>
        <w:t xml:space="preserve"> </w:t>
      </w:r>
      <w:r>
        <w:t>no</w:t>
      </w:r>
      <w:r>
        <w:rPr>
          <w:spacing w:val="-1"/>
        </w:rPr>
        <w:t xml:space="preserve"> </w:t>
      </w:r>
      <w:r>
        <w:t>liberan óvulos</w:t>
      </w:r>
      <w:r>
        <w:rPr>
          <w:spacing w:val="-1"/>
        </w:rPr>
        <w:t xml:space="preserve"> </w:t>
      </w:r>
      <w:r>
        <w:t>con</w:t>
      </w:r>
      <w:r>
        <w:rPr>
          <w:spacing w:val="-3"/>
        </w:rPr>
        <w:t xml:space="preserve"> </w:t>
      </w:r>
      <w:r>
        <w:t>regularidad.</w:t>
      </w:r>
    </w:p>
    <w:p w14:paraId="13FA856B" w14:textId="77777777" w:rsidR="005A7584" w:rsidRDefault="008B2978" w:rsidP="00F87F54">
      <w:pPr>
        <w:pStyle w:val="Textoindependiente"/>
        <w:spacing w:before="161"/>
        <w:ind w:left="382" w:right="860"/>
        <w:jc w:val="both"/>
      </w:pPr>
      <w:r>
        <w:t>La causa exacta del síndrome de ovario poliquístico se desconoce, pero por ello</w:t>
      </w:r>
      <w:r>
        <w:rPr>
          <w:spacing w:val="1"/>
        </w:rPr>
        <w:t xml:space="preserve"> </w:t>
      </w:r>
      <w:r>
        <w:t>buscamo0s</w:t>
      </w:r>
      <w:r>
        <w:rPr>
          <w:spacing w:val="-14"/>
        </w:rPr>
        <w:t xml:space="preserve"> </w:t>
      </w:r>
      <w:r>
        <w:t>la</w:t>
      </w:r>
      <w:r>
        <w:rPr>
          <w:spacing w:val="-12"/>
        </w:rPr>
        <w:t xml:space="preserve"> </w:t>
      </w:r>
      <w:r>
        <w:t>forma</w:t>
      </w:r>
      <w:r>
        <w:rPr>
          <w:spacing w:val="-13"/>
        </w:rPr>
        <w:t xml:space="preserve"> </w:t>
      </w:r>
      <w:r>
        <w:t>de</w:t>
      </w:r>
      <w:r>
        <w:rPr>
          <w:spacing w:val="-12"/>
        </w:rPr>
        <w:t xml:space="preserve"> </w:t>
      </w:r>
      <w:r>
        <w:t>cómo</w:t>
      </w:r>
      <w:r>
        <w:rPr>
          <w:spacing w:val="-13"/>
        </w:rPr>
        <w:t xml:space="preserve"> </w:t>
      </w:r>
      <w:r>
        <w:t>llevar</w:t>
      </w:r>
      <w:r>
        <w:rPr>
          <w:spacing w:val="-14"/>
        </w:rPr>
        <w:t xml:space="preserve"> </w:t>
      </w:r>
      <w:r>
        <w:t>la</w:t>
      </w:r>
      <w:r>
        <w:rPr>
          <w:spacing w:val="-13"/>
        </w:rPr>
        <w:t xml:space="preserve"> </w:t>
      </w:r>
      <w:r>
        <w:t>información</w:t>
      </w:r>
      <w:r>
        <w:rPr>
          <w:spacing w:val="-12"/>
        </w:rPr>
        <w:t xml:space="preserve"> </w:t>
      </w:r>
      <w:r>
        <w:t>para</w:t>
      </w:r>
      <w:r>
        <w:rPr>
          <w:spacing w:val="-14"/>
        </w:rPr>
        <w:t xml:space="preserve"> </w:t>
      </w:r>
      <w:r>
        <w:lastRenderedPageBreak/>
        <w:t>toda</w:t>
      </w:r>
      <w:r>
        <w:rPr>
          <w:spacing w:val="-12"/>
        </w:rPr>
        <w:t xml:space="preserve"> </w:t>
      </w:r>
      <w:r>
        <w:t>la</w:t>
      </w:r>
      <w:r>
        <w:rPr>
          <w:spacing w:val="-13"/>
        </w:rPr>
        <w:t xml:space="preserve"> </w:t>
      </w:r>
      <w:r>
        <w:t>población</w:t>
      </w:r>
      <w:r>
        <w:rPr>
          <w:spacing w:val="-12"/>
        </w:rPr>
        <w:t xml:space="preserve"> </w:t>
      </w:r>
      <w:r>
        <w:t>en</w:t>
      </w:r>
      <w:r>
        <w:rPr>
          <w:spacing w:val="-13"/>
        </w:rPr>
        <w:t xml:space="preserve"> </w:t>
      </w:r>
      <w:r>
        <w:t>general</w:t>
      </w:r>
      <w:r>
        <w:rPr>
          <w:spacing w:val="-64"/>
        </w:rPr>
        <w:t xml:space="preserve"> </w:t>
      </w:r>
      <w:r>
        <w:t>y</w:t>
      </w:r>
      <w:r>
        <w:rPr>
          <w:spacing w:val="-12"/>
        </w:rPr>
        <w:t xml:space="preserve"> </w:t>
      </w:r>
      <w:r>
        <w:t>así</w:t>
      </w:r>
      <w:r>
        <w:rPr>
          <w:spacing w:val="-11"/>
        </w:rPr>
        <w:t xml:space="preserve"> </w:t>
      </w:r>
      <w:r>
        <w:t>conozcan</w:t>
      </w:r>
      <w:r>
        <w:rPr>
          <w:spacing w:val="-13"/>
        </w:rPr>
        <w:t xml:space="preserve"> </w:t>
      </w:r>
      <w:r>
        <w:t>más</w:t>
      </w:r>
      <w:r>
        <w:rPr>
          <w:spacing w:val="-11"/>
        </w:rPr>
        <w:t xml:space="preserve"> </w:t>
      </w:r>
      <w:r>
        <w:t>sobre</w:t>
      </w:r>
      <w:r>
        <w:rPr>
          <w:spacing w:val="-11"/>
        </w:rPr>
        <w:t xml:space="preserve"> </w:t>
      </w:r>
      <w:r>
        <w:t>esta</w:t>
      </w:r>
      <w:r>
        <w:rPr>
          <w:spacing w:val="-13"/>
        </w:rPr>
        <w:t xml:space="preserve"> </w:t>
      </w:r>
      <w:r>
        <w:t>enfermedad</w:t>
      </w:r>
      <w:r>
        <w:rPr>
          <w:spacing w:val="-12"/>
        </w:rPr>
        <w:t xml:space="preserve"> </w:t>
      </w:r>
      <w:r>
        <w:t>y</w:t>
      </w:r>
      <w:r>
        <w:rPr>
          <w:spacing w:val="-14"/>
        </w:rPr>
        <w:t xml:space="preserve"> </w:t>
      </w:r>
      <w:r>
        <w:t>con</w:t>
      </w:r>
      <w:r>
        <w:rPr>
          <w:spacing w:val="-13"/>
        </w:rPr>
        <w:t xml:space="preserve"> </w:t>
      </w:r>
      <w:r>
        <w:t>ello</w:t>
      </w:r>
      <w:r>
        <w:rPr>
          <w:spacing w:val="-10"/>
        </w:rPr>
        <w:t xml:space="preserve"> </w:t>
      </w:r>
      <w:r>
        <w:t>el</w:t>
      </w:r>
      <w:r>
        <w:rPr>
          <w:spacing w:val="-14"/>
        </w:rPr>
        <w:t xml:space="preserve"> </w:t>
      </w:r>
      <w:r>
        <w:t>diagnóstico</w:t>
      </w:r>
      <w:r>
        <w:rPr>
          <w:spacing w:val="-14"/>
        </w:rPr>
        <w:t xml:space="preserve"> </w:t>
      </w:r>
      <w:r>
        <w:t>y</w:t>
      </w:r>
      <w:r>
        <w:rPr>
          <w:spacing w:val="-12"/>
        </w:rPr>
        <w:t xml:space="preserve"> </w:t>
      </w:r>
      <w:r>
        <w:t>el</w:t>
      </w:r>
      <w:r>
        <w:rPr>
          <w:spacing w:val="-12"/>
        </w:rPr>
        <w:t xml:space="preserve"> </w:t>
      </w:r>
      <w:r>
        <w:t>tratamiento</w:t>
      </w:r>
      <w:r>
        <w:rPr>
          <w:spacing w:val="-64"/>
        </w:rPr>
        <w:t xml:space="preserve"> </w:t>
      </w:r>
      <w:r>
        <w:t>tempranos</w:t>
      </w:r>
      <w:r>
        <w:rPr>
          <w:spacing w:val="-1"/>
        </w:rPr>
        <w:t xml:space="preserve"> </w:t>
      </w:r>
      <w:r>
        <w:t>junto.</w:t>
      </w:r>
    </w:p>
    <w:p w14:paraId="13FA856C" w14:textId="77777777" w:rsidR="00C455E5" w:rsidRPr="00A9150D" w:rsidRDefault="00C455E5" w:rsidP="00F87F54">
      <w:pPr>
        <w:pStyle w:val="Textoindependiente"/>
        <w:spacing w:before="161"/>
        <w:ind w:left="382" w:right="860"/>
        <w:jc w:val="both"/>
        <w:rPr>
          <w:b/>
        </w:rPr>
      </w:pPr>
      <w:r w:rsidRPr="00A9150D">
        <w:rPr>
          <w:b/>
        </w:rPr>
        <w:t xml:space="preserve">Diagnostico </w:t>
      </w:r>
    </w:p>
    <w:p w14:paraId="13FA856D" w14:textId="77777777" w:rsidR="008B2978" w:rsidRDefault="00C455E5" w:rsidP="00F87F54">
      <w:pPr>
        <w:pStyle w:val="Textoindependiente"/>
        <w:spacing w:before="161"/>
        <w:ind w:left="382" w:right="860"/>
        <w:jc w:val="both"/>
      </w:pPr>
      <w:r>
        <w:t>Se debe sospechar síndrome de ovario poliquístico en mujeres con al menos dos síntomas típicos (p. ej., menstruac</w:t>
      </w:r>
      <w:r w:rsidR="008B2978">
        <w:t>iones irregulares, hirsutismo).</w:t>
      </w:r>
    </w:p>
    <w:p w14:paraId="13FA856E" w14:textId="77777777" w:rsidR="00C455E5" w:rsidRDefault="00C455E5" w:rsidP="00F87F54">
      <w:pPr>
        <w:pStyle w:val="Textoindependiente"/>
        <w:spacing w:before="161"/>
        <w:ind w:left="382" w:right="860"/>
        <w:jc w:val="both"/>
      </w:pPr>
      <w:r>
        <w:t>El diagnóstico requiere al menos 2 de los</w:t>
      </w:r>
      <w:r w:rsidR="008B2978">
        <w:t xml:space="preserve"> siguientes 3 criterios:</w:t>
      </w:r>
    </w:p>
    <w:p w14:paraId="13FA856F" w14:textId="77777777" w:rsidR="00C455E5" w:rsidRDefault="00C455E5" w:rsidP="00F87F54">
      <w:pPr>
        <w:pStyle w:val="Textoindependiente"/>
        <w:numPr>
          <w:ilvl w:val="0"/>
          <w:numId w:val="5"/>
        </w:numPr>
        <w:spacing w:before="161"/>
        <w:ind w:right="860"/>
        <w:jc w:val="both"/>
      </w:pPr>
      <w:r>
        <w:t>Una disfunción ovulatoria que provoca una irregularidad menstrual</w:t>
      </w:r>
    </w:p>
    <w:p w14:paraId="13FA8570" w14:textId="77777777" w:rsidR="00C455E5" w:rsidRDefault="00C455E5" w:rsidP="00F87F54">
      <w:pPr>
        <w:pStyle w:val="Textoindependiente"/>
        <w:numPr>
          <w:ilvl w:val="0"/>
          <w:numId w:val="5"/>
        </w:numPr>
        <w:spacing w:before="161"/>
        <w:ind w:right="860"/>
        <w:jc w:val="both"/>
      </w:pPr>
      <w:r>
        <w:t>Evidencia clínica o bioquímica de hiperandrogenismo</w:t>
      </w:r>
    </w:p>
    <w:p w14:paraId="13FA8571" w14:textId="77777777" w:rsidR="00C455E5" w:rsidRDefault="008B2978" w:rsidP="00F87F54">
      <w:pPr>
        <w:pStyle w:val="Textoindependiente"/>
        <w:numPr>
          <w:ilvl w:val="0"/>
          <w:numId w:val="5"/>
        </w:numPr>
        <w:spacing w:before="161"/>
        <w:ind w:right="860"/>
        <w:jc w:val="both"/>
      </w:pPr>
      <w:r>
        <w:t>&gt;</w:t>
      </w:r>
      <w:r w:rsidR="00C455E5">
        <w:t>10 folículos por ovario (detectados por ecografía pelviana), generalmente en la periferia y simulando un collar de perlas</w:t>
      </w:r>
    </w:p>
    <w:p w14:paraId="13FA8572" w14:textId="77777777" w:rsidR="00C455E5" w:rsidRDefault="00C455E5" w:rsidP="00F87F54">
      <w:pPr>
        <w:pStyle w:val="Textoindependiente"/>
        <w:spacing w:before="161"/>
        <w:ind w:left="382" w:right="860"/>
        <w:jc w:val="both"/>
      </w:pPr>
      <w:r>
        <w:t>Se indica una ecografía transvaginal para detectar ovarios poliquísticos y descartar otras posibles causas de los síntomas. Sin embargo, la ecografía transvaginal no se realiza en niñas ad</w:t>
      </w:r>
      <w:r w:rsidR="008B2978">
        <w:t>olescentes.</w:t>
      </w:r>
    </w:p>
    <w:p w14:paraId="13FA8575" w14:textId="7FDBF936" w:rsidR="008B2978" w:rsidRDefault="00C455E5" w:rsidP="00F87F54">
      <w:pPr>
        <w:pStyle w:val="Textoindependiente"/>
        <w:spacing w:before="161"/>
        <w:ind w:left="382" w:right="860"/>
        <w:jc w:val="both"/>
      </w:pPr>
      <w:r>
        <w:t>El diagnóstico no se basa en la medición de los andrógenos séricos. En las pacientes que cumplen los criterios diagnósticos, se deben descartar otras causas de hirsutismo o virilización (p. ej., tumores secretores de andrógenos) mediante la determinación d</w:t>
      </w:r>
      <w:r w:rsidR="008B2978">
        <w:t>e andrógenos séricos, incluidos.</w:t>
      </w:r>
    </w:p>
    <w:p w14:paraId="13FA8576" w14:textId="77777777" w:rsidR="00C455E5" w:rsidRDefault="00C455E5" w:rsidP="00F87F54">
      <w:pPr>
        <w:pStyle w:val="Textoindependiente"/>
        <w:numPr>
          <w:ilvl w:val="0"/>
          <w:numId w:val="6"/>
        </w:numPr>
        <w:spacing w:before="161"/>
        <w:ind w:right="860"/>
        <w:jc w:val="both"/>
      </w:pPr>
      <w:r>
        <w:t>Testosterona total</w:t>
      </w:r>
    </w:p>
    <w:p w14:paraId="13FA8577" w14:textId="77777777" w:rsidR="00C455E5" w:rsidRDefault="00C455E5" w:rsidP="00F87F54">
      <w:pPr>
        <w:pStyle w:val="Textoindependiente"/>
        <w:numPr>
          <w:ilvl w:val="0"/>
          <w:numId w:val="6"/>
        </w:numPr>
        <w:spacing w:before="161"/>
        <w:ind w:right="860"/>
        <w:jc w:val="both"/>
      </w:pPr>
      <w:r>
        <w:t>Temprano en la mañana se mide la 17-hidroxiprogesterona sérica para excluir virilismo suprarrenal</w:t>
      </w:r>
    </w:p>
    <w:p w14:paraId="13FA8578" w14:textId="77777777" w:rsidR="00C455E5" w:rsidRDefault="00C455E5" w:rsidP="00F87F54">
      <w:pPr>
        <w:pStyle w:val="Textoindependiente"/>
        <w:numPr>
          <w:ilvl w:val="0"/>
          <w:numId w:val="6"/>
        </w:numPr>
        <w:spacing w:before="161"/>
        <w:ind w:right="860"/>
        <w:jc w:val="both"/>
      </w:pPr>
      <w:r>
        <w:t>Si el DHEAS es anormal, se evalúa a las mujeres en la forma en que se investigan las amenorrea.</w:t>
      </w:r>
    </w:p>
    <w:p w14:paraId="13FA8579" w14:textId="77777777" w:rsidR="008B2978" w:rsidRDefault="00C455E5" w:rsidP="00F87F54">
      <w:pPr>
        <w:pStyle w:val="Textoindependiente"/>
        <w:spacing w:before="161"/>
        <w:ind w:left="382" w:right="860"/>
        <w:jc w:val="both"/>
      </w:pPr>
      <w:r>
        <w:t xml:space="preserve">La testosterona libre es más sensible que los niveles totales de testosterona, pero es técnicamente más difícil de </w:t>
      </w:r>
      <w:r w:rsidRPr="008B2978">
        <w:t>medir. Los</w:t>
      </w:r>
      <w:r>
        <w:t xml:space="preserve"> niveles de testosterona normal a ligeramente aumentados y de FSH normal a ligeramente disminuidos sugieren síndrome de ovario poliquístico.</w:t>
      </w:r>
    </w:p>
    <w:p w14:paraId="13FA857A" w14:textId="77777777" w:rsidR="008B2978" w:rsidRPr="00A9150D" w:rsidRDefault="008B2978" w:rsidP="00F87F54">
      <w:pPr>
        <w:pStyle w:val="Textoindependiente"/>
        <w:spacing w:before="161"/>
        <w:ind w:right="860"/>
        <w:jc w:val="both"/>
        <w:rPr>
          <w:b/>
        </w:rPr>
      </w:pPr>
      <w:r w:rsidRPr="00A9150D">
        <w:rPr>
          <w:b/>
        </w:rPr>
        <w:t>Diagnóstico del síndrome de ovario poliquístico en niñas adolescentes</w:t>
      </w:r>
    </w:p>
    <w:p w14:paraId="13FA857B" w14:textId="77777777" w:rsidR="008B2978" w:rsidRDefault="008B2978" w:rsidP="00F87F54">
      <w:pPr>
        <w:pStyle w:val="Textoindependiente"/>
        <w:spacing w:before="161"/>
        <w:ind w:right="860"/>
        <w:jc w:val="both"/>
      </w:pPr>
      <w:r>
        <w:t xml:space="preserve">El diagnóstico de síndrome de ovario poliquístico en adolescentes es complicado porque los cambios fisiológicos durante la pubertad (p. ej., hiperandrogenismo, irregularidad menstrual) son similares a las características del síndrome de ovario poliquístico. Por lo tanto, se han sugerido criterios específicos para el diagnóstico del síndrome de ovario poliquístico en adolescentes: sin embargo, no se ha llegado a un consenso. Estos criterios requieren la presencia de las dos condiciones </w:t>
      </w:r>
      <w:r>
        <w:lastRenderedPageBreak/>
        <w:t>siguientes:</w:t>
      </w:r>
    </w:p>
    <w:p w14:paraId="13FA857C" w14:textId="77777777" w:rsidR="008B2978" w:rsidRDefault="008B2978" w:rsidP="00F87F54">
      <w:pPr>
        <w:pStyle w:val="Textoindependiente"/>
        <w:numPr>
          <w:ilvl w:val="0"/>
          <w:numId w:val="7"/>
        </w:numPr>
        <w:spacing w:before="161"/>
        <w:ind w:right="860"/>
        <w:jc w:val="both"/>
      </w:pPr>
      <w:r>
        <w:t>Patrón anormal de sangrado uterino (anormal para la edad o la edad ginecológica o los síntomas que persisten durante 1 a 2 años)</w:t>
      </w:r>
    </w:p>
    <w:p w14:paraId="13FA857D" w14:textId="77777777" w:rsidR="008B2978" w:rsidRDefault="008B2978" w:rsidP="00F87F54">
      <w:pPr>
        <w:pStyle w:val="Textoindependiente"/>
        <w:numPr>
          <w:ilvl w:val="0"/>
          <w:numId w:val="7"/>
        </w:numPr>
        <w:spacing w:before="161"/>
        <w:ind w:right="860"/>
        <w:jc w:val="both"/>
      </w:pPr>
      <w:r>
        <w:t>Evidencia de hiperandrogenismo (basado en niveles persistentemente elevados de testosterona por encima de las normas para adultos [la mejor evidencia], hirsutismo moderado a grave o acné vulgar moderado a grave como indicación para evaluar la hiperandrogenemia)</w:t>
      </w:r>
    </w:p>
    <w:p w14:paraId="13FA857E" w14:textId="77777777" w:rsidR="008B2978" w:rsidRDefault="008B2978" w:rsidP="00F87F54">
      <w:pPr>
        <w:pStyle w:val="Textoindependiente"/>
        <w:spacing w:before="161"/>
        <w:ind w:right="860"/>
        <w:jc w:val="both"/>
      </w:pPr>
      <w:r>
        <w:t>A menudo, también se realiza una prueba de 17-hidroxiprogesterona para el cribado de adolescentes en busca de hiperplasia suprarrenal congénita no clásica.</w:t>
      </w:r>
    </w:p>
    <w:p w14:paraId="13FA8581" w14:textId="73C6CB3A" w:rsidR="008B2978" w:rsidRDefault="008B2978" w:rsidP="00F87F54">
      <w:pPr>
        <w:pStyle w:val="Textoindependiente"/>
        <w:spacing w:before="161"/>
        <w:ind w:right="860"/>
        <w:jc w:val="both"/>
      </w:pPr>
      <w:r>
        <w:t>La ecografía pelviana suele indicarse solo si los niveles de andrógenos en suero o el grado de virilización sugieren un tumor ovárico. Por lo general, la ecografía transvaginal no se utiliza para diagnosticar el síndrome de ovario poliquístico en niñas adolescentes porque detecta la morfología poliquística en &lt; 40% de las niñas y, usada sola, no predice la presencia o el desarrollo de síndrome de ovario poliquístico.</w:t>
      </w:r>
    </w:p>
    <w:p w14:paraId="13FA8582" w14:textId="77777777" w:rsidR="008B2978" w:rsidRDefault="008B2978" w:rsidP="00F87F54">
      <w:pPr>
        <w:pStyle w:val="Textoindependiente"/>
        <w:spacing w:before="161"/>
        <w:ind w:right="860"/>
        <w:jc w:val="both"/>
      </w:pPr>
      <w:r>
        <w:t>El síndrome de ovario poliquístico es un síndrome clínico caracterizado habitualmente por anovulación u oligoovulación, signos de exceso de andrógenos (p. ej., hirsutismo, acné) y múltiples quistes en los ovarios. A menudo, hay resistencia a la insulina y obesidad. El diagnóstico se basa en criterios clínicos, determinación de hormonas y estudios de diagnóstico por imágenes para descartar un tumor virilizante. El tratamiento es sintomático.</w:t>
      </w:r>
    </w:p>
    <w:p w14:paraId="13FA8583" w14:textId="41462E27" w:rsidR="008B2978" w:rsidRDefault="008B2978" w:rsidP="00F87F54">
      <w:pPr>
        <w:pStyle w:val="Textoindependiente"/>
        <w:spacing w:before="161"/>
        <w:ind w:right="860"/>
        <w:jc w:val="both"/>
      </w:pPr>
      <w:r>
        <w:t>El síndrome de ovario poliquístico (SOP) ocur</w:t>
      </w:r>
      <w:r w:rsidR="00A9150D">
        <w:t>re en 5 a 10% de las mujeres.</w:t>
      </w:r>
    </w:p>
    <w:p w14:paraId="13FA8586" w14:textId="7689C19D" w:rsidR="008B2978" w:rsidRDefault="008B2978" w:rsidP="00F87F54">
      <w:pPr>
        <w:pStyle w:val="Textoindependiente"/>
        <w:spacing w:before="161"/>
        <w:ind w:right="860"/>
        <w:jc w:val="both"/>
      </w:pPr>
      <w:r>
        <w:t>En general, el síndrome de ovario poliquístico se define como un síndrome clínico, no por la presencia de quistes ováricos. Pero en general, los ovarios contienen varios quistes foliculares de 2 a 6 mm y a veces quistes grandes con células atrésicas. Los ovarios pueden estar agrandados, con las cápsulas engrosadas o pueden ser de tamaño normal</w:t>
      </w:r>
    </w:p>
    <w:p w14:paraId="13FA8589" w14:textId="5B54B06E" w:rsidR="008B2978" w:rsidRPr="00A9150D" w:rsidRDefault="008B2978" w:rsidP="00F87F54">
      <w:pPr>
        <w:pStyle w:val="Textoindependiente"/>
        <w:spacing w:before="161"/>
        <w:ind w:right="860"/>
        <w:jc w:val="both"/>
        <w:rPr>
          <w:b/>
        </w:rPr>
      </w:pPr>
      <w:r w:rsidRPr="00A9150D">
        <w:rPr>
          <w:b/>
        </w:rPr>
        <w:t>Síndrome de ovario poliquístico (SOP)</w:t>
      </w:r>
    </w:p>
    <w:p w14:paraId="13FA858E" w14:textId="7C5ED049" w:rsidR="008B2978" w:rsidRPr="00A9150D" w:rsidRDefault="008B2978" w:rsidP="00F87F54">
      <w:pPr>
        <w:pStyle w:val="Textoindependiente"/>
        <w:spacing w:before="161"/>
        <w:ind w:right="860"/>
        <w:jc w:val="both"/>
        <w:rPr>
          <w:b/>
        </w:rPr>
      </w:pPr>
      <w:r>
        <w:t>Este síndrome implica una disfunción anovulatoria u ovulatoria y un exceso de andrógenos de etiología aún no del todo conocida. Sin embargo, algunas evidencias sugieren que los pacientes tienen una anormalidad funcional del citocromo P450c17 que afecta a la 17-hidroxilasa (la enzima limitante de la velocidad en la producción de andrógenos); como resultado, aumenta la producción de andrógenos. La patogenia parece implicar factores hereditarios y ambientales.</w:t>
      </w:r>
      <w:r w:rsidR="00F87F54">
        <w:t xml:space="preserve"> </w:t>
      </w:r>
      <w:r w:rsidRPr="00A9150D">
        <w:rPr>
          <w:b/>
        </w:rPr>
        <w:t>Complicaciones</w:t>
      </w:r>
    </w:p>
    <w:p w14:paraId="53B60AD2" w14:textId="77777777" w:rsidR="00F87F54" w:rsidRDefault="008B2978" w:rsidP="00F87F54">
      <w:pPr>
        <w:pStyle w:val="Textoindependiente"/>
        <w:spacing w:before="161"/>
        <w:ind w:right="860"/>
        <w:jc w:val="both"/>
      </w:pPr>
      <w:r>
        <w:t xml:space="preserve">El síndrome de ovario poliquístico tiene varias complicaciones potenciales </w:t>
      </w:r>
      <w:r>
        <w:lastRenderedPageBreak/>
        <w:t>significativas.</w:t>
      </w:r>
      <w:r w:rsidR="00F87F54">
        <w:t xml:space="preserve"> </w:t>
      </w:r>
    </w:p>
    <w:p w14:paraId="13FA8592" w14:textId="09CA0823" w:rsidR="008B2978" w:rsidRDefault="008B2978" w:rsidP="00F87F54">
      <w:pPr>
        <w:pStyle w:val="Textoindependiente"/>
        <w:numPr>
          <w:ilvl w:val="0"/>
          <w:numId w:val="10"/>
        </w:numPr>
        <w:spacing w:before="161"/>
        <w:ind w:right="860"/>
        <w:jc w:val="both"/>
      </w:pPr>
      <w:r>
        <w:t>La infertilidad está relacionada con disfunción ovulatoria.</w:t>
      </w:r>
    </w:p>
    <w:p w14:paraId="13FA8594" w14:textId="6D4BB021" w:rsidR="008B2978" w:rsidRDefault="008B2978" w:rsidP="00F87F54">
      <w:pPr>
        <w:pStyle w:val="Textoindependiente"/>
        <w:numPr>
          <w:ilvl w:val="0"/>
          <w:numId w:val="10"/>
        </w:numPr>
        <w:spacing w:before="161"/>
        <w:ind w:right="860"/>
        <w:jc w:val="both"/>
      </w:pPr>
      <w:r>
        <w:t>Los niveles de estrógenos están elevados, lo que aumenta el riesgo de hiperplasia endometrial y, potencialmente, de cáncer de endometrio.</w:t>
      </w:r>
    </w:p>
    <w:p w14:paraId="13FA8596" w14:textId="3369A489" w:rsidR="008B2978" w:rsidRDefault="008B2978" w:rsidP="00F87F54">
      <w:pPr>
        <w:pStyle w:val="Textoindependiente"/>
        <w:spacing w:before="161"/>
        <w:ind w:right="860"/>
        <w:jc w:val="both"/>
      </w:pPr>
      <w:r>
        <w:t>A menudo, las concentraciones de andrógenos están elevadas, lo que aumenta el riesgo de síndrome metabólico y obesidad, y provoca hirsutismo. La hiperinsulinemia debido a la resistencia a la insulina puede estar presente y contribuir al aumento de la producción ovárica de andrógenos. A largo plazo, el exceso de andrógenos incrementa el riesgo de trastornos cardiovasculares, incluida la hipertensión y la hiperlipidemia. El riesgo de exceso de andrógenos y sus complicaciones puede ser tan alto en las mujeres que no tienen sobrepeso como en las que lo tienen.</w:t>
      </w:r>
    </w:p>
    <w:p w14:paraId="13FA8597" w14:textId="77777777" w:rsidR="008B2978" w:rsidRDefault="008B2978" w:rsidP="00F87F54">
      <w:pPr>
        <w:pStyle w:val="Textoindependiente"/>
        <w:spacing w:before="161"/>
        <w:ind w:right="860"/>
        <w:jc w:val="both"/>
      </w:pPr>
      <w:r>
        <w:t>La calcificación de las arterias coronarias y el engrosamiento de la íntima y la media de la carótida es más común entre las mujeres con síndrome de ovario poliquístico, lo que sugiere una posible aterosclerosis subclínica.</w:t>
      </w:r>
    </w:p>
    <w:p w14:paraId="13FA859A" w14:textId="7B7B0A22" w:rsidR="008B2978" w:rsidRDefault="008B2978" w:rsidP="00F87F54">
      <w:pPr>
        <w:pStyle w:val="Textoindependiente"/>
        <w:spacing w:before="161"/>
        <w:ind w:right="860"/>
        <w:jc w:val="both"/>
      </w:pPr>
      <w:r>
        <w:t>La diabetes tipo 2 y la alteración de la tolerancia a la glucosa son más frecuentes, y el riesgo de apnea obstructiva del sueño aumenta.</w:t>
      </w:r>
    </w:p>
    <w:p w14:paraId="13FA859B" w14:textId="24F68E24" w:rsidR="008B2978" w:rsidRDefault="008B2978" w:rsidP="00F87F54">
      <w:pPr>
        <w:pStyle w:val="Textoindependiente"/>
        <w:spacing w:before="161"/>
        <w:ind w:right="860"/>
        <w:jc w:val="both"/>
      </w:pPr>
      <w:r>
        <w:t>Estudios indican que el síndrome de ovario poliquístico (SOP) se asocia con inflamación crónica de bajo grado y que las mujeres con síndrome de ovario poliquístico tienen un mayor riesgo d</w:t>
      </w:r>
      <w:r w:rsidR="00F87F54">
        <w:t>e hígado graso no alcohólico</w:t>
      </w:r>
      <w:r>
        <w:t>.</w:t>
      </w:r>
    </w:p>
    <w:p w14:paraId="13FA859F" w14:textId="77777777" w:rsidR="008B2978" w:rsidRPr="00A9150D" w:rsidRDefault="008B2978" w:rsidP="00F87F54">
      <w:pPr>
        <w:pStyle w:val="Textoindependiente"/>
        <w:spacing w:before="161"/>
        <w:ind w:right="860"/>
        <w:jc w:val="both"/>
        <w:rPr>
          <w:b/>
        </w:rPr>
      </w:pPr>
      <w:r w:rsidRPr="00A9150D">
        <w:rPr>
          <w:b/>
        </w:rPr>
        <w:t>Signos y síntomas del síndrome de ovario poliquístico</w:t>
      </w:r>
    </w:p>
    <w:p w14:paraId="13FA85A1" w14:textId="27417E9D" w:rsidR="008B2978" w:rsidRDefault="008B2978" w:rsidP="00F87F54">
      <w:pPr>
        <w:pStyle w:val="Textoindependiente"/>
        <w:spacing w:before="161"/>
        <w:ind w:right="860"/>
        <w:jc w:val="both"/>
      </w:pPr>
      <w:r>
        <w:t>Los síntomas del síndrome de ovario poliquístico comienzan durante la pubertad y empeoran con el tiempo. En general existe una disfunción ovulatoria en el momento de la pubertad, lo que produce una amenorrea primaria; por lo tanto, el síndrome de ovario poliquístico es poco probable si hubo menstruaciones regulares durante un período después de la menarca. La adrenarca prematura es frecuente, se debe a exceso de sulfato de dehidroepiandrosterona (DHEAS) y, a menudo, se caracteriza por aparición temprana de vello axilar, olor corporal y acné con microcomedones.</w:t>
      </w:r>
    </w:p>
    <w:p w14:paraId="13FA85A3" w14:textId="037A5C19" w:rsidR="008B2978" w:rsidRDefault="008B2978" w:rsidP="00F87F54">
      <w:pPr>
        <w:pStyle w:val="Textoindependiente"/>
        <w:spacing w:before="161"/>
        <w:ind w:right="860"/>
        <w:jc w:val="both"/>
      </w:pPr>
      <w:r>
        <w:t>Los síntomas típicos consisten en menstruaciones irregulares, en general oligomenorrea, amenorrea, obesidad leve e hirsutismo leve. Sin embargo, hasta en la mitad de las mujeres con síndrome de ovario poliquístico el peso es normal, y algunas mujeres tienen un peso inferior al normal. El vello corporal puede crecer con un patrón masculino (p. ej., en el labio superior, la barbilla, la espalda, los pulgares y los dedos del pie; alrededor de los pezones, y a lo largo de la línea alba de la parte inferior del abdomen). Algunas mujeres tienen acné y algunas presentan signos de virilización, como adelgazamiento del cabello en la zona temporal.</w:t>
      </w:r>
    </w:p>
    <w:p w14:paraId="13FA85A5" w14:textId="45A53E34" w:rsidR="008B2978" w:rsidRDefault="008B2978" w:rsidP="00F87F54">
      <w:pPr>
        <w:pStyle w:val="Textoindependiente"/>
        <w:spacing w:before="161"/>
        <w:ind w:right="860"/>
        <w:jc w:val="both"/>
      </w:pPr>
      <w:r>
        <w:t xml:space="preserve">Otros síntomas pueden incluir aumento de peso (a veces aparentemente </w:t>
      </w:r>
      <w:r>
        <w:lastRenderedPageBreak/>
        <w:t>difícil de controlar), fatiga, falta de energía, problemas relacionados con el sueño (incluida la apnea del sueño), cambios de humor, depresión, ansiedad y dolores de cabeza. En algunas mujeres, la fertilidad se ve afectada. Los síntomas varían de mujer a mujer.</w:t>
      </w:r>
    </w:p>
    <w:p w14:paraId="13FA85A7" w14:textId="046BF923" w:rsidR="008B2978" w:rsidRDefault="008B2978" w:rsidP="00F87F54">
      <w:pPr>
        <w:pStyle w:val="Textoindependiente"/>
        <w:spacing w:before="161"/>
        <w:ind w:right="860"/>
        <w:jc w:val="both"/>
      </w:pPr>
      <w:r>
        <w:t>Pueden aparecer áreas de piel oscurecida y engrosada (acantosis nigricans) en las axilas, la nuca, en las regiones de pliegues y en los nudillos y/o los codos; la causa son los elevados niveles de insulina debido a la resistencia a la insulina.</w:t>
      </w:r>
    </w:p>
    <w:p w14:paraId="13FA85AC" w14:textId="3EEE4392" w:rsidR="008B2978" w:rsidRDefault="008B2978" w:rsidP="00F87F54">
      <w:pPr>
        <w:pStyle w:val="Textoindependiente"/>
        <w:spacing w:before="161"/>
        <w:ind w:right="860"/>
        <w:jc w:val="both"/>
      </w:pPr>
      <w:r>
        <w:t>Acantosis nigricans en el síndrome del ovario poliquístico</w:t>
      </w:r>
    </w:p>
    <w:p w14:paraId="13FA85AE" w14:textId="4CA23138" w:rsidR="008B2978" w:rsidRDefault="008B2978" w:rsidP="00F87F54">
      <w:pPr>
        <w:pStyle w:val="Textoindependiente"/>
        <w:spacing w:before="161"/>
        <w:ind w:right="860"/>
        <w:jc w:val="both"/>
      </w:pPr>
      <w:r>
        <w:t>Si mujeres con SOP quedan embarazadas y tienen obesidad, el riesgo de complicaciones gestacionales es mayor. Estas complicaciones incluyen diabetes gestacional, parto prematuro, y preeclampsia.</w:t>
      </w:r>
    </w:p>
    <w:p w14:paraId="13FA85AF" w14:textId="77777777" w:rsidR="008B2978" w:rsidRPr="00F87F54" w:rsidRDefault="008B2978" w:rsidP="00F87F54">
      <w:pPr>
        <w:pStyle w:val="Textoindependiente"/>
        <w:spacing w:before="161"/>
        <w:ind w:right="860"/>
        <w:jc w:val="both"/>
        <w:rPr>
          <w:b/>
        </w:rPr>
      </w:pPr>
      <w:r w:rsidRPr="00F87F54">
        <w:rPr>
          <w:b/>
        </w:rPr>
        <w:t>Diagnóstico del síndrome de ovario poliquístico</w:t>
      </w:r>
    </w:p>
    <w:p w14:paraId="13FA85B0" w14:textId="77777777" w:rsidR="008B2978" w:rsidRDefault="008B2978" w:rsidP="00F87F54">
      <w:pPr>
        <w:pStyle w:val="Textoindependiente"/>
        <w:numPr>
          <w:ilvl w:val="0"/>
          <w:numId w:val="11"/>
        </w:numPr>
        <w:spacing w:before="161"/>
        <w:ind w:right="860"/>
        <w:jc w:val="both"/>
      </w:pPr>
      <w:r>
        <w:t>Criterios clínicos</w:t>
      </w:r>
    </w:p>
    <w:p w14:paraId="13FA85B1" w14:textId="77777777" w:rsidR="008B2978" w:rsidRDefault="008B2978" w:rsidP="00F87F54">
      <w:pPr>
        <w:pStyle w:val="Textoindependiente"/>
        <w:numPr>
          <w:ilvl w:val="0"/>
          <w:numId w:val="11"/>
        </w:numPr>
        <w:spacing w:before="161"/>
        <w:ind w:right="860"/>
        <w:jc w:val="both"/>
      </w:pPr>
      <w:r>
        <w:t>Ecografía pelviana</w:t>
      </w:r>
    </w:p>
    <w:p w14:paraId="13FA85B2" w14:textId="77777777" w:rsidR="008B2978" w:rsidRDefault="008B2978" w:rsidP="00F87F54">
      <w:pPr>
        <w:pStyle w:val="Textoindependiente"/>
        <w:spacing w:before="161"/>
        <w:ind w:right="860"/>
        <w:jc w:val="both"/>
      </w:pPr>
      <w:r>
        <w:t>Pruebas para descartar otros trastornos endocrinológicos, como determinación de las concentraciones séricas de testosterona, hormona foliculoestimulante (FSH), prolactina y hormona tiroideoestimulante (TSH)</w:t>
      </w:r>
    </w:p>
    <w:p w14:paraId="13FA85B4" w14:textId="46A34E19" w:rsidR="008B2978" w:rsidRDefault="008B2978" w:rsidP="00F87F54">
      <w:pPr>
        <w:pStyle w:val="Textoindependiente"/>
        <w:spacing w:before="161"/>
        <w:ind w:right="860"/>
        <w:jc w:val="both"/>
      </w:pPr>
      <w:r>
        <w:t>Se debe sospechar síndrome de ovario poliquístico en mujeres con al menos dos síntomas típicos (p. ej., menstruaciones irregulares, hirsutismo).</w:t>
      </w:r>
    </w:p>
    <w:p w14:paraId="13FA85B6" w14:textId="3A813294" w:rsidR="008B2978" w:rsidRDefault="008B2978" w:rsidP="00F87F54">
      <w:pPr>
        <w:pStyle w:val="Textoindependiente"/>
        <w:spacing w:before="161"/>
        <w:ind w:right="860"/>
        <w:jc w:val="both"/>
      </w:pPr>
      <w:r>
        <w:t>El diagnóstico requiere al menos 2 de los siguientes 3 criterios:</w:t>
      </w:r>
    </w:p>
    <w:p w14:paraId="13FA85B7" w14:textId="77777777" w:rsidR="008B2978" w:rsidRDefault="008B2978" w:rsidP="00F87F54">
      <w:pPr>
        <w:pStyle w:val="Textoindependiente"/>
        <w:numPr>
          <w:ilvl w:val="0"/>
          <w:numId w:val="14"/>
        </w:numPr>
        <w:spacing w:before="161"/>
        <w:ind w:right="860"/>
        <w:jc w:val="both"/>
      </w:pPr>
      <w:r>
        <w:t>Una disfunción ovulatoria que provoca una irregularidad menstrual</w:t>
      </w:r>
    </w:p>
    <w:p w14:paraId="13FA85B8" w14:textId="77777777" w:rsidR="008B2978" w:rsidRDefault="008B2978" w:rsidP="00F87F54">
      <w:pPr>
        <w:pStyle w:val="Textoindependiente"/>
        <w:numPr>
          <w:ilvl w:val="0"/>
          <w:numId w:val="14"/>
        </w:numPr>
        <w:spacing w:before="161"/>
        <w:ind w:right="860"/>
        <w:jc w:val="both"/>
      </w:pPr>
      <w:r>
        <w:t>Evidencia clínica o bioquímica de hiperandrogenismo</w:t>
      </w:r>
    </w:p>
    <w:p w14:paraId="13FA85B9" w14:textId="0C83F988" w:rsidR="008B2978" w:rsidRDefault="00F87F54" w:rsidP="00F87F54">
      <w:pPr>
        <w:pStyle w:val="Textoindependiente"/>
        <w:numPr>
          <w:ilvl w:val="0"/>
          <w:numId w:val="14"/>
        </w:numPr>
        <w:spacing w:before="161"/>
        <w:ind w:right="860"/>
        <w:jc w:val="both"/>
      </w:pPr>
      <w:r>
        <w:t>&gt;</w:t>
      </w:r>
      <w:r w:rsidR="008B2978">
        <w:t>10 folículos por ovario (detectados por ecografía pelviana), generalmente en la periferia y simulando un collar de perlas</w:t>
      </w:r>
    </w:p>
    <w:p w14:paraId="13FA85BB" w14:textId="4A07010F" w:rsidR="008B2978" w:rsidRDefault="008B2978" w:rsidP="00F87F54">
      <w:pPr>
        <w:pStyle w:val="Textoindependiente"/>
        <w:spacing w:before="161"/>
        <w:ind w:right="860"/>
        <w:jc w:val="both"/>
      </w:pPr>
      <w:r>
        <w:t>La investigación consiste en pruebas de embarazo y determinación de FSH, prolactina y TSH para descartar otras posibles causas de los síntomas.</w:t>
      </w:r>
    </w:p>
    <w:p w14:paraId="13FA85BD" w14:textId="31C156EB" w:rsidR="008B2978" w:rsidRDefault="008B2978" w:rsidP="00F87F54">
      <w:pPr>
        <w:pStyle w:val="Textoindependiente"/>
        <w:spacing w:before="161"/>
        <w:ind w:right="860"/>
        <w:jc w:val="both"/>
      </w:pPr>
      <w:r>
        <w:t>Se indica una ecografía transvaginal para detectar ovarios poliquísticos y descartar otras posibles causas de los síntomas. Sin embargo, la ecografía transvaginal no se realiza en niñas adolescentes (véase más adelante).</w:t>
      </w:r>
    </w:p>
    <w:p w14:paraId="13FA85BF" w14:textId="7F1C1561" w:rsidR="008B2978" w:rsidRDefault="008B2978" w:rsidP="00F87F54">
      <w:pPr>
        <w:pStyle w:val="Textoindependiente"/>
        <w:spacing w:before="161"/>
        <w:ind w:right="860"/>
        <w:jc w:val="both"/>
      </w:pPr>
      <w:r>
        <w:t>El diagnóstico no se basa en la medición de los andrógenos séricos. En las pacientes que cumplen los criterios diagnósticos, se deben descartar otras causas de hirsutismo o virilización (p. ej., tumores secretores de andrógenos) mediante la determinación de andrógenos séricos, incluidos</w:t>
      </w:r>
    </w:p>
    <w:p w14:paraId="13FA85C0" w14:textId="77777777" w:rsidR="008B2978" w:rsidRDefault="008B2978" w:rsidP="00F87F54">
      <w:pPr>
        <w:pStyle w:val="Textoindependiente"/>
        <w:spacing w:before="161"/>
        <w:ind w:right="860"/>
        <w:jc w:val="both"/>
      </w:pPr>
      <w:r>
        <w:lastRenderedPageBreak/>
        <w:t>Testosterona total</w:t>
      </w:r>
    </w:p>
    <w:p w14:paraId="13FA85C1" w14:textId="77777777" w:rsidR="008B2978" w:rsidRDefault="008B2978" w:rsidP="00F87F54">
      <w:pPr>
        <w:pStyle w:val="Textoindependiente"/>
        <w:spacing w:before="161"/>
        <w:ind w:right="860"/>
        <w:jc w:val="both"/>
      </w:pPr>
      <w:r>
        <w:t>Temprano en la mañana se mide la 17-hidroxiprogesterona sérica para excluir virilismo suprarrenal</w:t>
      </w:r>
    </w:p>
    <w:p w14:paraId="13FA85C2" w14:textId="77777777" w:rsidR="008B2978" w:rsidRDefault="008B2978" w:rsidP="00F87F54">
      <w:pPr>
        <w:pStyle w:val="Textoindependiente"/>
        <w:spacing w:before="161"/>
        <w:ind w:right="860"/>
        <w:jc w:val="both"/>
      </w:pPr>
      <w:r>
        <w:t>Si el DHEAS es anormal, se evalúa a las mujeres en la forma en que se investigan las amenorrea.</w:t>
      </w:r>
    </w:p>
    <w:p w14:paraId="13FA85C4" w14:textId="07C2AD41" w:rsidR="008B2978" w:rsidRDefault="008B2978" w:rsidP="00F87F54">
      <w:pPr>
        <w:pStyle w:val="Textoindependiente"/>
        <w:spacing w:before="161"/>
        <w:ind w:right="860"/>
        <w:jc w:val="both"/>
      </w:pPr>
      <w:r>
        <w:t>La testosterona libre es más sensible que los niveles totales de testosterona, pero es técnicamente más difícil de medir (véase algoritmo Diagnóstico del hipogonadismo primario y secundario). Los niveles de testosterona normal a ligeramente aumentados y de FSH normal a ligeramente disminuidos sugieren síndrome de ovario poliquístico.</w:t>
      </w:r>
    </w:p>
    <w:p w14:paraId="49973904" w14:textId="0D9AA076" w:rsidR="00E2035B" w:rsidRDefault="008B2978" w:rsidP="00F87F54">
      <w:pPr>
        <w:pStyle w:val="Textoindependiente"/>
        <w:spacing w:before="161"/>
        <w:ind w:right="860"/>
        <w:jc w:val="both"/>
      </w:pPr>
      <w:r>
        <w:t>Además, se determina el cortisol sérico para descartar síndrome de Cushing.</w:t>
      </w:r>
    </w:p>
    <w:p w14:paraId="13FA85C7" w14:textId="6BAF9294" w:rsidR="008B2978" w:rsidRDefault="008B2978" w:rsidP="00F87F54">
      <w:pPr>
        <w:pStyle w:val="Textoindependiente"/>
        <w:spacing w:before="161"/>
        <w:ind w:right="860"/>
        <w:jc w:val="both"/>
      </w:pPr>
      <w:r>
        <w:t>Perlas y errores</w:t>
      </w:r>
    </w:p>
    <w:p w14:paraId="13FA85C8" w14:textId="77777777" w:rsidR="008B2978" w:rsidRDefault="008B2978" w:rsidP="00F87F54">
      <w:pPr>
        <w:pStyle w:val="Textoindependiente"/>
        <w:spacing w:before="161"/>
        <w:ind w:right="860"/>
        <w:jc w:val="both"/>
      </w:pPr>
      <w:r>
        <w:t>El síndrome de ovario poliquístico es improbable si hubo menstruaciones regulares durante un período después de la menarca.</w:t>
      </w:r>
    </w:p>
    <w:p w14:paraId="13FA85CA" w14:textId="504E2B73" w:rsidR="008B2978" w:rsidRDefault="008B2978" w:rsidP="00F87F54">
      <w:pPr>
        <w:pStyle w:val="Textoindependiente"/>
        <w:spacing w:before="161"/>
        <w:ind w:right="860"/>
        <w:jc w:val="both"/>
      </w:pPr>
      <w:r>
        <w:t>En los adolescentes con síntomas de síndrome de ovario poliquístico, se miden los niveles de testosterona.</w:t>
      </w:r>
    </w:p>
    <w:p w14:paraId="13FA85CB" w14:textId="77777777" w:rsidR="008B2978" w:rsidRPr="00A9150D" w:rsidRDefault="008B2978" w:rsidP="00F87F54">
      <w:pPr>
        <w:pStyle w:val="Textoindependiente"/>
        <w:spacing w:before="161"/>
        <w:ind w:right="860"/>
        <w:jc w:val="both"/>
        <w:rPr>
          <w:b/>
        </w:rPr>
      </w:pPr>
      <w:r w:rsidRPr="00A9150D">
        <w:rPr>
          <w:b/>
        </w:rPr>
        <w:t>Diagnóstico del síndrome de ovario poliquístico en niñas adolescentes</w:t>
      </w:r>
    </w:p>
    <w:p w14:paraId="13FA85CC" w14:textId="77777777" w:rsidR="008B2978" w:rsidRDefault="008B2978" w:rsidP="00F87F54">
      <w:pPr>
        <w:pStyle w:val="Textoindependiente"/>
        <w:spacing w:before="161"/>
        <w:ind w:right="860"/>
        <w:jc w:val="both"/>
      </w:pPr>
      <w:r>
        <w:t>El diagnóstico de síndrome de ovario poliquístico en adolescentes es complicado porque los cambios fisiológicos durante la pubertad (p. ej., hiperandrogenismo, irregularidad menstrual) son similares a las características del síndrome de ovario poliquístico. Por lo tanto, se han sugerido criterios específicos para el diagnóstico del síndrome de ovario poliquístico en adolescentes (1): sin embargo, no se ha llegado a un consenso. Estos criterios requieren la presencia de las dos condiciones siguientes:</w:t>
      </w:r>
    </w:p>
    <w:p w14:paraId="13FA85CD" w14:textId="77777777" w:rsidR="008B2978" w:rsidRDefault="008B2978" w:rsidP="00F87F54">
      <w:pPr>
        <w:pStyle w:val="Textoindependiente"/>
        <w:spacing w:before="161"/>
        <w:ind w:right="860"/>
        <w:jc w:val="both"/>
      </w:pPr>
      <w:r>
        <w:t>Patrón anormal de sangrado uterino (anormal para la edad o la edad ginecológica o los síntomas que persisten durante 1 a 2 años)</w:t>
      </w:r>
    </w:p>
    <w:p w14:paraId="13FA85CE" w14:textId="77777777" w:rsidR="008B2978" w:rsidRDefault="008B2978" w:rsidP="00F87F54">
      <w:pPr>
        <w:pStyle w:val="Textoindependiente"/>
        <w:spacing w:before="161"/>
        <w:ind w:right="860"/>
        <w:jc w:val="both"/>
      </w:pPr>
      <w:r>
        <w:t>Evidencia de hiperandrogenismo (basado en niveles persistentemente elevados de testosterona por encima de las normas para adultos [la mejor evidencia], hirsutismo moderado a grave o acné vulgar moderado a grave como indicación para evaluar la hiperandrogenemia)</w:t>
      </w:r>
    </w:p>
    <w:p w14:paraId="13FA85CF" w14:textId="77777777" w:rsidR="008B2978" w:rsidRDefault="008B2978" w:rsidP="00F87F54">
      <w:pPr>
        <w:pStyle w:val="Textoindependiente"/>
        <w:spacing w:before="161"/>
        <w:ind w:right="860"/>
        <w:jc w:val="both"/>
      </w:pPr>
      <w:r>
        <w:t>A menudo, también se realiza una prueba de 17-hidroxiprogesterona para el cribado de adolescentes en busca de hiperplasia suprarrenal congénita no clásica.</w:t>
      </w:r>
    </w:p>
    <w:p w14:paraId="13FA85D0" w14:textId="77777777" w:rsidR="008B2978" w:rsidRDefault="008B2978" w:rsidP="00F87F54">
      <w:pPr>
        <w:pStyle w:val="Textoindependiente"/>
        <w:spacing w:before="161"/>
        <w:ind w:right="860"/>
        <w:jc w:val="both"/>
      </w:pPr>
      <w:r>
        <w:t xml:space="preserve">La ecografía pelviana suele indicarse solo si los niveles de andrógenos en suero o el grado de virilización sugieren un tumor ovárico. Por lo general, la ecografía transvaginal no se utiliza para diagnosticar el síndrome de </w:t>
      </w:r>
      <w:r>
        <w:lastRenderedPageBreak/>
        <w:t>ovario poliquístico en niñas adolescentes porque detecta la morfología poliquística en &lt; 40% de las niñas y, usada sola, no predice la presencia o el desarrollo de síndrome de ovario poliquístico.</w:t>
      </w:r>
    </w:p>
    <w:p w14:paraId="13FA85D1" w14:textId="77777777" w:rsidR="008B2978" w:rsidRPr="008B2978" w:rsidRDefault="008B2978" w:rsidP="00F87F54">
      <w:pPr>
        <w:pStyle w:val="Textoindependiente"/>
        <w:spacing w:before="161"/>
        <w:ind w:right="860"/>
        <w:jc w:val="both"/>
        <w:rPr>
          <w:b/>
        </w:rPr>
      </w:pPr>
      <w:r w:rsidRPr="008B2978">
        <w:rPr>
          <w:b/>
        </w:rPr>
        <w:t>Tratamiento del síndrome de ovario poliquístico</w:t>
      </w:r>
    </w:p>
    <w:p w14:paraId="13FA85D2" w14:textId="77777777" w:rsidR="008B2978" w:rsidRDefault="008B2978" w:rsidP="00F87F54">
      <w:pPr>
        <w:pStyle w:val="Textoindependiente"/>
        <w:spacing w:before="161"/>
        <w:ind w:right="860"/>
        <w:jc w:val="both"/>
      </w:pPr>
      <w:r>
        <w:t>En general, anticonceptivos de estrógeno/progestágeno o solo progestágenos</w:t>
      </w:r>
    </w:p>
    <w:p w14:paraId="13FA85D3" w14:textId="77777777" w:rsidR="008B2978" w:rsidRDefault="008B2978" w:rsidP="00F87F54">
      <w:pPr>
        <w:pStyle w:val="Textoindependiente"/>
        <w:numPr>
          <w:ilvl w:val="0"/>
          <w:numId w:val="8"/>
        </w:numPr>
        <w:spacing w:before="161"/>
        <w:ind w:right="860"/>
        <w:jc w:val="both"/>
      </w:pPr>
      <w:r>
        <w:t>A veces, metformina u otros sensibilizadores a la insulina</w:t>
      </w:r>
    </w:p>
    <w:p w14:paraId="13FA85D4" w14:textId="77777777" w:rsidR="008B2978" w:rsidRDefault="008B2978" w:rsidP="00F87F54">
      <w:pPr>
        <w:pStyle w:val="Textoindependiente"/>
        <w:numPr>
          <w:ilvl w:val="0"/>
          <w:numId w:val="8"/>
        </w:numPr>
        <w:spacing w:before="161"/>
        <w:ind w:right="860"/>
        <w:jc w:val="both"/>
      </w:pPr>
      <w:r>
        <w:t>Manejo del hirsutismo y, en las mujeres adultas, los riesgos de las alteraciones hormonales a largo plazo</w:t>
      </w:r>
    </w:p>
    <w:p w14:paraId="13FA85D5" w14:textId="77777777" w:rsidR="008B2978" w:rsidRDefault="008B2978" w:rsidP="00F87F54">
      <w:pPr>
        <w:pStyle w:val="Textoindependiente"/>
        <w:numPr>
          <w:ilvl w:val="0"/>
          <w:numId w:val="8"/>
        </w:numPr>
        <w:spacing w:before="161"/>
        <w:ind w:right="860"/>
        <w:jc w:val="both"/>
      </w:pPr>
      <w:r>
        <w:t>Manejo de la infertilidad en mujeres que desean embarazarse</w:t>
      </w:r>
    </w:p>
    <w:p w14:paraId="13FA85D9" w14:textId="77777777" w:rsidR="008B2978" w:rsidRDefault="008B2978" w:rsidP="00F87F54">
      <w:pPr>
        <w:pStyle w:val="Textoindependiente"/>
        <w:spacing w:before="161"/>
        <w:ind w:right="860"/>
        <w:jc w:val="both"/>
      </w:pPr>
    </w:p>
    <w:p w14:paraId="13FA85DA" w14:textId="77777777" w:rsidR="008B2978" w:rsidRDefault="008B2978" w:rsidP="00F87F54">
      <w:pPr>
        <w:pStyle w:val="Textoindependiente"/>
        <w:spacing w:before="161"/>
        <w:ind w:right="860"/>
        <w:jc w:val="both"/>
      </w:pPr>
      <w:r>
        <w:t>El tratamiento del síndrome de ovario poliquístico está destinado a:</w:t>
      </w:r>
    </w:p>
    <w:p w14:paraId="13FA85DB" w14:textId="77777777" w:rsidR="008B2978" w:rsidRDefault="008B2978" w:rsidP="00F87F54">
      <w:pPr>
        <w:pStyle w:val="Textoindependiente"/>
        <w:numPr>
          <w:ilvl w:val="0"/>
          <w:numId w:val="9"/>
        </w:numPr>
        <w:spacing w:before="161"/>
        <w:ind w:right="860"/>
        <w:jc w:val="both"/>
      </w:pPr>
      <w:r>
        <w:t>Corregir anomalías hormonales y reducir así los riesgos del exceso de estrógeno (p. ej., hiperplasia endometrial) y el exceso de andrógenos (p. ej., diabetes, trastornos cardiovasculares).</w:t>
      </w:r>
    </w:p>
    <w:p w14:paraId="13FA85DC" w14:textId="77777777" w:rsidR="008B2978" w:rsidRDefault="008B2978" w:rsidP="00F87F54">
      <w:pPr>
        <w:pStyle w:val="Textoindependiente"/>
        <w:numPr>
          <w:ilvl w:val="0"/>
          <w:numId w:val="9"/>
        </w:numPr>
        <w:spacing w:before="161"/>
        <w:ind w:right="860"/>
        <w:jc w:val="both"/>
      </w:pPr>
      <w:r>
        <w:t>Aliviar los síntomas</w:t>
      </w:r>
    </w:p>
    <w:p w14:paraId="13FA85DD" w14:textId="77777777" w:rsidR="008B2978" w:rsidRDefault="008B2978" w:rsidP="00F87F54">
      <w:pPr>
        <w:pStyle w:val="Textoindependiente"/>
        <w:numPr>
          <w:ilvl w:val="0"/>
          <w:numId w:val="9"/>
        </w:numPr>
        <w:spacing w:before="161"/>
        <w:ind w:right="860"/>
        <w:jc w:val="both"/>
      </w:pPr>
      <w:r>
        <w:t>Tratar la infertilidad</w:t>
      </w:r>
    </w:p>
    <w:p w14:paraId="13FA85DE" w14:textId="77777777" w:rsidR="008B2978" w:rsidRDefault="008B2978" w:rsidP="00F87F54">
      <w:pPr>
        <w:pStyle w:val="Textoindependiente"/>
        <w:spacing w:before="161"/>
        <w:ind w:right="860"/>
        <w:jc w:val="both"/>
      </w:pPr>
      <w:r>
        <w:t>Se utilizan medicamentos hormonales para inducir la descamación regular del endometrio y reducir el riesgo de hiperplasia y cáncer endometrial. Las mujeres generalmente se tratan con un progestágeno intermitente (p. ej., medroxiprogesterona 5 a 10 mg por vía oral 1 vez al día durante 10 a 14 días cada 1-2 meses) o anticonceptivos orales para reducir el riesgo de hiperplasia y cáncer endometrial. Estos tratamientos también reducen los andrógenos circulantes y generalmente ayudan a regularizar los ciclos menstruales. Los anticonceptivos hormonales son la terapia de primera línea para las anormalidades menstruales, el hirsutismo y el acné en mujeres que tienen síndrome de ovario poliquístico y que no desean un embarazo.</w:t>
      </w:r>
    </w:p>
    <w:p w14:paraId="13FA85DF" w14:textId="77777777" w:rsidR="008B2978" w:rsidRDefault="008B2978" w:rsidP="00F87F54">
      <w:pPr>
        <w:pStyle w:val="Textoindependiente"/>
        <w:spacing w:before="161"/>
        <w:ind w:right="860"/>
        <w:jc w:val="both"/>
      </w:pPr>
      <w:r>
        <w:t>Para tratar la insensibilidad a la insulina, se recurre a cambios del estilo de vida y enfoques farmacológicos.</w:t>
      </w:r>
    </w:p>
    <w:p w14:paraId="13FA85E0" w14:textId="77777777" w:rsidR="008B2978" w:rsidRDefault="008B2978" w:rsidP="00F87F54">
      <w:pPr>
        <w:pStyle w:val="Textoindependiente"/>
        <w:spacing w:before="161"/>
        <w:ind w:right="860"/>
        <w:jc w:val="both"/>
      </w:pPr>
      <w:r>
        <w:t>Si se detecta obesidad, se recomienda descenso de peso y ejercicio regular. Estas medidas pueden ayudar a inducir la ovulación, regularizar los ciclos, aumentar la sensibilidad a la insulina, y reducir la acantosis nigricans y el hirsutismo. La pérdida de peso también puede ayudar a mejorar la fertilidad. La cirugía bariátrica puede ser una opción para algunas mujeres con SOP (1). Sin embargo, es poco probable que la pérdida de peso beneficie a las mujeres con peso normal con síndrome de ovario poliquístico.</w:t>
      </w:r>
    </w:p>
    <w:p w14:paraId="6DB97B27" w14:textId="3145EABF" w:rsidR="00825DF3" w:rsidRDefault="008B2978" w:rsidP="00F87F54">
      <w:pPr>
        <w:pStyle w:val="Textoindependiente"/>
        <w:spacing w:before="161"/>
        <w:ind w:right="860"/>
        <w:jc w:val="both"/>
      </w:pPr>
      <w:r>
        <w:lastRenderedPageBreak/>
        <w:t>500 a 1.000 mg de metformina 2 veces al día se usan para ayudar a aumentar la sensibilidad a la insulina en mujeres con síndrome de ovario poliquístico, menstruación irregular y diabetes o resistencia a la insulina si las modificaciones del estilo de vida no son efectivas o si no pueden tolerar los anticonceptivos hormonales. La metformina también puede reducir los niveles de testosterona libre. Cuando se usa metformina debe controlarse la glucosa, y también deben evaluarse periódicamente las funciones renal y hepática. Como la metformina puede inducir la ovulación, se necesita un régimen anticonceptivo si no se desea un embarazo. La metformina ayuda a corregir las anomalías metabólicas y glucémicas y hace que los ciclos menstruales sean más regulares, pero tiene poco o ningún efecto beneficioso sobre el hirsutismo, el acné o la esterilidad.</w:t>
      </w:r>
    </w:p>
    <w:p w14:paraId="14DEF67F" w14:textId="72EEF9CC" w:rsidR="00825DF3" w:rsidRPr="00F87F54" w:rsidRDefault="00F87F54" w:rsidP="00F87F54">
      <w:pPr>
        <w:pStyle w:val="Textoindependiente"/>
        <w:spacing w:before="161"/>
        <w:ind w:right="860"/>
        <w:jc w:val="both"/>
        <w:rPr>
          <w:b/>
        </w:rPr>
      </w:pPr>
      <w:r w:rsidRPr="00F87F54">
        <w:rPr>
          <w:b/>
        </w:rPr>
        <w:t xml:space="preserve">Resultado </w:t>
      </w:r>
    </w:p>
    <w:p w14:paraId="32AA7E43" w14:textId="1102BE8F" w:rsidR="00825DF3" w:rsidRDefault="00F87F54" w:rsidP="00F87F54">
      <w:pPr>
        <w:pStyle w:val="Textoindependiente"/>
        <w:spacing w:before="161"/>
        <w:ind w:right="860"/>
        <w:jc w:val="both"/>
      </w:pPr>
      <w:r>
        <w:t xml:space="preserve">En esta investigación se obtuvieron los siguientes resultados mediante una encuesta virtual. </w:t>
      </w:r>
    </w:p>
    <w:p w14:paraId="7F9E49B5" w14:textId="77777777" w:rsidR="00825DF3" w:rsidRDefault="00825DF3" w:rsidP="00F87F54">
      <w:pPr>
        <w:pStyle w:val="Textoindependiente"/>
        <w:spacing w:before="161"/>
        <w:ind w:right="860"/>
        <w:jc w:val="both"/>
      </w:pPr>
    </w:p>
    <w:p w14:paraId="75BE8366" w14:textId="77777777" w:rsidR="00825DF3" w:rsidRDefault="00825DF3" w:rsidP="00F87F54">
      <w:pPr>
        <w:pStyle w:val="Textoindependiente"/>
        <w:spacing w:before="161"/>
        <w:ind w:right="860"/>
        <w:jc w:val="both"/>
      </w:pPr>
    </w:p>
    <w:p w14:paraId="7E2B8DF6" w14:textId="77777777" w:rsidR="00825DF3" w:rsidRDefault="00825DF3" w:rsidP="00F87F54">
      <w:pPr>
        <w:pStyle w:val="Textoindependiente"/>
        <w:spacing w:before="161"/>
        <w:ind w:right="860"/>
        <w:jc w:val="both"/>
      </w:pPr>
    </w:p>
    <w:p w14:paraId="4BC36318" w14:textId="77777777" w:rsidR="00825DF3" w:rsidRDefault="00825DF3" w:rsidP="00F87F54">
      <w:pPr>
        <w:pStyle w:val="Textoindependiente"/>
        <w:spacing w:before="161"/>
        <w:ind w:right="860"/>
        <w:jc w:val="both"/>
      </w:pPr>
    </w:p>
    <w:p w14:paraId="7D6463A4" w14:textId="77777777" w:rsidR="00825DF3" w:rsidRDefault="00825DF3" w:rsidP="00F87F54">
      <w:pPr>
        <w:pStyle w:val="Textoindependiente"/>
        <w:spacing w:before="161"/>
        <w:ind w:right="860"/>
        <w:jc w:val="both"/>
      </w:pPr>
    </w:p>
    <w:p w14:paraId="7738E718" w14:textId="77777777" w:rsidR="00825DF3" w:rsidRDefault="00825DF3" w:rsidP="00F87F54">
      <w:pPr>
        <w:pStyle w:val="Textoindependiente"/>
        <w:spacing w:before="161"/>
        <w:ind w:right="860"/>
        <w:jc w:val="both"/>
      </w:pPr>
    </w:p>
    <w:p w14:paraId="30659D39" w14:textId="613C9890" w:rsidR="00825DF3" w:rsidRDefault="00B37458" w:rsidP="00F87F54">
      <w:pPr>
        <w:pStyle w:val="Textoindependiente"/>
        <w:spacing w:before="161"/>
        <w:ind w:right="860"/>
        <w:jc w:val="both"/>
      </w:pPr>
      <w:r>
        <w:rPr>
          <w:noProof/>
          <w:lang w:val="es-MX" w:eastAsia="es-MX"/>
        </w:rPr>
        <w:lastRenderedPageBreak/>
        <w:drawing>
          <wp:anchor distT="0" distB="0" distL="114300" distR="114300" simplePos="0" relativeHeight="251658240" behindDoc="0" locked="0" layoutInCell="1" allowOverlap="1" wp14:anchorId="7C8094EA" wp14:editId="1837DF1A">
            <wp:simplePos x="0" y="0"/>
            <wp:positionH relativeFrom="column">
              <wp:posOffset>-1875155</wp:posOffset>
            </wp:positionH>
            <wp:positionV relativeFrom="paragraph">
              <wp:posOffset>811530</wp:posOffset>
            </wp:positionV>
            <wp:extent cx="9446895" cy="7215505"/>
            <wp:effectExtent l="0" t="8255"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5825" t="19976" r="12285" b="6277"/>
                    <a:stretch/>
                  </pic:blipFill>
                  <pic:spPr bwMode="auto">
                    <a:xfrm rot="16200000">
                      <a:off x="0" y="0"/>
                      <a:ext cx="9446895" cy="721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FA85E2" w14:textId="58E195CC" w:rsidR="00825DF3" w:rsidRDefault="00825DF3" w:rsidP="00F87F54">
      <w:pPr>
        <w:pStyle w:val="Textoindependiente"/>
        <w:spacing w:before="161"/>
        <w:ind w:right="860"/>
        <w:jc w:val="both"/>
        <w:sectPr w:rsidR="00825DF3" w:rsidSect="0058288F">
          <w:pgSz w:w="12240" w:h="15840"/>
          <w:pgMar w:top="1417" w:right="1701" w:bottom="1417" w:left="1701" w:header="720" w:footer="720" w:gutter="0"/>
          <w:cols w:space="720"/>
          <w:docGrid w:linePitch="299"/>
        </w:sectPr>
      </w:pPr>
    </w:p>
    <w:p w14:paraId="13FA85E3" w14:textId="77777777" w:rsidR="005A7584" w:rsidRDefault="008B2978" w:rsidP="00F87F54">
      <w:pPr>
        <w:pStyle w:val="Ttulo1"/>
        <w:spacing w:before="78"/>
        <w:jc w:val="both"/>
      </w:pPr>
      <w:bookmarkStart w:id="7" w:name="_bookmark7"/>
      <w:bookmarkEnd w:id="7"/>
      <w:r>
        <w:lastRenderedPageBreak/>
        <w:t>Bibliografía</w:t>
      </w:r>
    </w:p>
    <w:p w14:paraId="13FA85E4" w14:textId="77777777" w:rsidR="005A7584" w:rsidRDefault="008B2978" w:rsidP="00F87F54">
      <w:pPr>
        <w:spacing w:before="310"/>
        <w:ind w:left="1101" w:right="728" w:hanging="720"/>
        <w:jc w:val="both"/>
        <w:rPr>
          <w:sz w:val="24"/>
        </w:rPr>
      </w:pPr>
      <w:r>
        <w:rPr>
          <w:sz w:val="24"/>
        </w:rPr>
        <w:t>Carvajal G, R., Herrera G, C., &amp; Porcile J, A. (2010). Espectro fenotípico Del</w:t>
      </w:r>
      <w:r>
        <w:rPr>
          <w:spacing w:val="1"/>
          <w:sz w:val="24"/>
        </w:rPr>
        <w:t xml:space="preserve"> </w:t>
      </w:r>
      <w:r>
        <w:rPr>
          <w:sz w:val="24"/>
        </w:rPr>
        <w:t xml:space="preserve">síndrome DE ovario poliquístico. </w:t>
      </w:r>
      <w:r>
        <w:rPr>
          <w:rFonts w:ascii="Arial" w:hAnsi="Arial"/>
          <w:i/>
          <w:sz w:val="24"/>
        </w:rPr>
        <w:t>Revista Chilena de Obstetricia y</w:t>
      </w:r>
      <w:r>
        <w:rPr>
          <w:rFonts w:ascii="Arial" w:hAnsi="Arial"/>
          <w:i/>
          <w:spacing w:val="1"/>
          <w:sz w:val="24"/>
        </w:rPr>
        <w:t xml:space="preserve"> </w:t>
      </w:r>
      <w:r>
        <w:rPr>
          <w:rFonts w:ascii="Arial" w:hAnsi="Arial"/>
          <w:i/>
          <w:sz w:val="24"/>
        </w:rPr>
        <w:t>Ginecologia</w:t>
      </w:r>
      <w:r>
        <w:rPr>
          <w:sz w:val="24"/>
        </w:rPr>
        <w:t>,</w:t>
      </w:r>
      <w:r>
        <w:rPr>
          <w:spacing w:val="-11"/>
          <w:sz w:val="24"/>
        </w:rPr>
        <w:t xml:space="preserve"> </w:t>
      </w:r>
      <w:r>
        <w:rPr>
          <w:rFonts w:ascii="Arial" w:hAnsi="Arial"/>
          <w:i/>
          <w:sz w:val="24"/>
        </w:rPr>
        <w:t>75</w:t>
      </w:r>
      <w:r>
        <w:rPr>
          <w:sz w:val="24"/>
        </w:rPr>
        <w:t>(2).</w:t>
      </w:r>
      <w:r>
        <w:rPr>
          <w:spacing w:val="-12"/>
          <w:sz w:val="24"/>
        </w:rPr>
        <w:t xml:space="preserve"> </w:t>
      </w:r>
      <w:r>
        <w:rPr>
          <w:sz w:val="24"/>
        </w:rPr>
        <w:t>https://doi.org/10.4067/s0717-75262010000200009</w:t>
      </w:r>
    </w:p>
    <w:p w14:paraId="13FA85E5" w14:textId="77777777" w:rsidR="005A7584" w:rsidRDefault="005A7584" w:rsidP="00F87F54">
      <w:pPr>
        <w:pStyle w:val="Textoindependiente"/>
        <w:spacing w:before="2"/>
        <w:jc w:val="both"/>
      </w:pPr>
    </w:p>
    <w:p w14:paraId="13FA85E6" w14:textId="77777777" w:rsidR="005A7584" w:rsidRDefault="008B2978" w:rsidP="00F87F54">
      <w:pPr>
        <w:pStyle w:val="Textoindependiente"/>
        <w:ind w:left="1101" w:right="1434" w:hanging="720"/>
        <w:jc w:val="both"/>
      </w:pPr>
      <w:r>
        <w:t xml:space="preserve">Fonseca Villanea, C. (2018). Síndrome de ovario poliquístico. </w:t>
      </w:r>
      <w:r>
        <w:rPr>
          <w:rFonts w:ascii="Arial" w:hAnsi="Arial"/>
          <w:i/>
        </w:rPr>
        <w:t>Revista Medica</w:t>
      </w:r>
      <w:r>
        <w:rPr>
          <w:rFonts w:ascii="Arial" w:hAnsi="Arial"/>
          <w:i/>
          <w:spacing w:val="-64"/>
        </w:rPr>
        <w:t xml:space="preserve"> </w:t>
      </w:r>
      <w:r>
        <w:rPr>
          <w:rFonts w:ascii="Arial" w:hAnsi="Arial"/>
          <w:i/>
        </w:rPr>
        <w:t>Sinergia</w:t>
      </w:r>
      <w:r>
        <w:t>,</w:t>
      </w:r>
      <w:r>
        <w:rPr>
          <w:spacing w:val="-3"/>
        </w:rPr>
        <w:t xml:space="preserve"> </w:t>
      </w:r>
      <w:r>
        <w:rPr>
          <w:rFonts w:ascii="Arial" w:hAnsi="Arial"/>
          <w:i/>
        </w:rPr>
        <w:t>3</w:t>
      </w:r>
      <w:r>
        <w:t>(6),</w:t>
      </w:r>
      <w:r>
        <w:rPr>
          <w:spacing w:val="-1"/>
        </w:rPr>
        <w:t xml:space="preserve"> </w:t>
      </w:r>
      <w:r>
        <w:t>9–15. https://doi.org/10.31434/rms.v3i6.130</w:t>
      </w:r>
    </w:p>
    <w:p w14:paraId="13FA85E7" w14:textId="77777777" w:rsidR="005A7584" w:rsidRDefault="005A7584" w:rsidP="00F87F54">
      <w:pPr>
        <w:pStyle w:val="Textoindependiente"/>
        <w:spacing w:before="6"/>
        <w:jc w:val="both"/>
      </w:pPr>
    </w:p>
    <w:p w14:paraId="13FA85E8" w14:textId="77777777" w:rsidR="005A7584" w:rsidRDefault="008B2978" w:rsidP="00F87F54">
      <w:pPr>
        <w:ind w:left="1101" w:right="728" w:hanging="720"/>
        <w:jc w:val="both"/>
        <w:rPr>
          <w:sz w:val="24"/>
        </w:rPr>
      </w:pPr>
      <w:r>
        <w:rPr>
          <w:sz w:val="24"/>
        </w:rPr>
        <w:t>Gómez-Acosta, C. A., Vinaccia Alpi, S., &amp; Quiceno, J. M. (2015). El síndrome de</w:t>
      </w:r>
      <w:r>
        <w:rPr>
          <w:spacing w:val="1"/>
          <w:sz w:val="24"/>
        </w:rPr>
        <w:t xml:space="preserve"> </w:t>
      </w:r>
      <w:r>
        <w:rPr>
          <w:sz w:val="24"/>
        </w:rPr>
        <w:t>ovario</w:t>
      </w:r>
      <w:r>
        <w:rPr>
          <w:spacing w:val="-3"/>
          <w:sz w:val="24"/>
        </w:rPr>
        <w:t xml:space="preserve"> </w:t>
      </w:r>
      <w:r>
        <w:rPr>
          <w:sz w:val="24"/>
        </w:rPr>
        <w:t>poliquístico:</w:t>
      </w:r>
      <w:r>
        <w:rPr>
          <w:spacing w:val="-2"/>
          <w:sz w:val="24"/>
        </w:rPr>
        <w:t xml:space="preserve"> </w:t>
      </w:r>
      <w:r>
        <w:rPr>
          <w:sz w:val="24"/>
        </w:rPr>
        <w:t>aspectos</w:t>
      </w:r>
      <w:r>
        <w:rPr>
          <w:spacing w:val="-5"/>
          <w:sz w:val="24"/>
        </w:rPr>
        <w:t xml:space="preserve"> </w:t>
      </w:r>
      <w:r>
        <w:rPr>
          <w:sz w:val="24"/>
        </w:rPr>
        <w:t>psicológicos.</w:t>
      </w:r>
      <w:r>
        <w:rPr>
          <w:spacing w:val="3"/>
          <w:sz w:val="24"/>
        </w:rPr>
        <w:t xml:space="preserve"> </w:t>
      </w:r>
      <w:r>
        <w:rPr>
          <w:rFonts w:ascii="Arial" w:hAnsi="Arial"/>
          <w:i/>
          <w:sz w:val="24"/>
        </w:rPr>
        <w:t>Revista</w:t>
      </w:r>
      <w:r>
        <w:rPr>
          <w:rFonts w:ascii="Arial" w:hAnsi="Arial"/>
          <w:i/>
          <w:spacing w:val="-3"/>
          <w:sz w:val="24"/>
        </w:rPr>
        <w:t xml:space="preserve"> </w:t>
      </w:r>
      <w:r>
        <w:rPr>
          <w:rFonts w:ascii="Arial" w:hAnsi="Arial"/>
          <w:i/>
          <w:sz w:val="24"/>
        </w:rPr>
        <w:t>Chilena</w:t>
      </w:r>
      <w:r>
        <w:rPr>
          <w:rFonts w:ascii="Arial" w:hAnsi="Arial"/>
          <w:i/>
          <w:spacing w:val="-4"/>
          <w:sz w:val="24"/>
        </w:rPr>
        <w:t xml:space="preserve"> </w:t>
      </w:r>
      <w:r>
        <w:rPr>
          <w:rFonts w:ascii="Arial" w:hAnsi="Arial"/>
          <w:i/>
          <w:sz w:val="24"/>
        </w:rPr>
        <w:t>de</w:t>
      </w:r>
      <w:r>
        <w:rPr>
          <w:rFonts w:ascii="Arial" w:hAnsi="Arial"/>
          <w:i/>
          <w:spacing w:val="-4"/>
          <w:sz w:val="24"/>
        </w:rPr>
        <w:t xml:space="preserve"> </w:t>
      </w:r>
      <w:r>
        <w:rPr>
          <w:rFonts w:ascii="Arial" w:hAnsi="Arial"/>
          <w:i/>
          <w:sz w:val="24"/>
        </w:rPr>
        <w:t>Obstetricia</w:t>
      </w:r>
      <w:r>
        <w:rPr>
          <w:rFonts w:ascii="Arial" w:hAnsi="Arial"/>
          <w:i/>
          <w:spacing w:val="-3"/>
          <w:sz w:val="24"/>
        </w:rPr>
        <w:t xml:space="preserve"> </w:t>
      </w:r>
      <w:r>
        <w:rPr>
          <w:rFonts w:ascii="Arial" w:hAnsi="Arial"/>
          <w:i/>
          <w:sz w:val="24"/>
        </w:rPr>
        <w:t>y</w:t>
      </w:r>
      <w:r>
        <w:rPr>
          <w:rFonts w:ascii="Arial" w:hAnsi="Arial"/>
          <w:i/>
          <w:spacing w:val="-64"/>
          <w:sz w:val="24"/>
        </w:rPr>
        <w:t xml:space="preserve"> </w:t>
      </w:r>
      <w:r>
        <w:rPr>
          <w:rFonts w:ascii="Arial" w:hAnsi="Arial"/>
          <w:i/>
          <w:sz w:val="24"/>
        </w:rPr>
        <w:t>Ginecologia</w:t>
      </w:r>
      <w:r>
        <w:rPr>
          <w:sz w:val="24"/>
        </w:rPr>
        <w:t>,</w:t>
      </w:r>
      <w:r>
        <w:rPr>
          <w:spacing w:val="-2"/>
          <w:sz w:val="24"/>
        </w:rPr>
        <w:t xml:space="preserve"> </w:t>
      </w:r>
      <w:r>
        <w:rPr>
          <w:rFonts w:ascii="Arial" w:hAnsi="Arial"/>
          <w:i/>
          <w:sz w:val="24"/>
        </w:rPr>
        <w:t>80</w:t>
      </w:r>
      <w:r>
        <w:rPr>
          <w:sz w:val="24"/>
        </w:rPr>
        <w:t>(4),</w:t>
      </w:r>
      <w:r>
        <w:rPr>
          <w:spacing w:val="-2"/>
          <w:sz w:val="24"/>
        </w:rPr>
        <w:t xml:space="preserve"> </w:t>
      </w:r>
      <w:r>
        <w:rPr>
          <w:sz w:val="24"/>
        </w:rPr>
        <w:t>341–347.</w:t>
      </w:r>
      <w:r>
        <w:rPr>
          <w:spacing w:val="-3"/>
          <w:sz w:val="24"/>
        </w:rPr>
        <w:t xml:space="preserve"> </w:t>
      </w:r>
      <w:r>
        <w:rPr>
          <w:sz w:val="24"/>
        </w:rPr>
        <w:t>https://doi.org/10.4067/s0717-</w:t>
      </w:r>
    </w:p>
    <w:p w14:paraId="13FA85EA" w14:textId="47B5E02C" w:rsidR="005A7584" w:rsidRPr="00E2035B" w:rsidRDefault="008B2978" w:rsidP="00F87F54">
      <w:pPr>
        <w:pStyle w:val="Textoindependiente"/>
        <w:ind w:left="1101"/>
        <w:jc w:val="both"/>
      </w:pPr>
      <w:r>
        <w:t>75262015000400010</w:t>
      </w:r>
    </w:p>
    <w:p w14:paraId="13FA85EB" w14:textId="77777777" w:rsidR="005A7584" w:rsidRDefault="005A7584" w:rsidP="00F87F54">
      <w:pPr>
        <w:pStyle w:val="Textoindependiente"/>
        <w:spacing w:before="5"/>
        <w:jc w:val="both"/>
        <w:rPr>
          <w:sz w:val="22"/>
        </w:rPr>
      </w:pPr>
    </w:p>
    <w:p w14:paraId="13FA85EC" w14:textId="77777777" w:rsidR="005A7584" w:rsidRDefault="008B2978" w:rsidP="00F87F54">
      <w:pPr>
        <w:pStyle w:val="Textoindependiente"/>
        <w:ind w:left="382"/>
        <w:jc w:val="both"/>
      </w:pPr>
      <w:r>
        <w:t>Julio</w:t>
      </w:r>
      <w:r>
        <w:rPr>
          <w:spacing w:val="-1"/>
        </w:rPr>
        <w:t xml:space="preserve"> </w:t>
      </w:r>
      <w:r>
        <w:t>Francisco</w:t>
      </w:r>
      <w:r>
        <w:rPr>
          <w:spacing w:val="-2"/>
        </w:rPr>
        <w:t xml:space="preserve"> </w:t>
      </w:r>
      <w:r>
        <w:t>de</w:t>
      </w:r>
      <w:r>
        <w:rPr>
          <w:spacing w:val="-1"/>
        </w:rPr>
        <w:t xml:space="preserve"> </w:t>
      </w:r>
      <w:r>
        <w:t>la</w:t>
      </w:r>
      <w:r>
        <w:rPr>
          <w:spacing w:val="-2"/>
        </w:rPr>
        <w:t xml:space="preserve"> </w:t>
      </w:r>
      <w:r>
        <w:t>Jara</w:t>
      </w:r>
      <w:r>
        <w:rPr>
          <w:spacing w:val="-1"/>
        </w:rPr>
        <w:t xml:space="preserve"> </w:t>
      </w:r>
      <w:r>
        <w:t>Díaz,</w:t>
      </w:r>
      <w:r>
        <w:rPr>
          <w:spacing w:val="-2"/>
        </w:rPr>
        <w:t xml:space="preserve"> </w:t>
      </w:r>
      <w:r>
        <w:t>L.</w:t>
      </w:r>
      <w:r>
        <w:rPr>
          <w:spacing w:val="-1"/>
        </w:rPr>
        <w:t xml:space="preserve"> </w:t>
      </w:r>
      <w:r>
        <w:t>O. G.</w:t>
      </w:r>
      <w:r>
        <w:rPr>
          <w:spacing w:val="-3"/>
        </w:rPr>
        <w:t xml:space="preserve"> </w:t>
      </w:r>
      <w:r>
        <w:t>(Ed.). (octubre</w:t>
      </w:r>
      <w:r>
        <w:rPr>
          <w:spacing w:val="4"/>
        </w:rPr>
        <w:t xml:space="preserve"> </w:t>
      </w:r>
      <w:r>
        <w:t>-</w:t>
      </w:r>
      <w:r>
        <w:rPr>
          <w:spacing w:val="-3"/>
        </w:rPr>
        <w:t xml:space="preserve"> </w:t>
      </w:r>
      <w:r>
        <w:t>diciembre</w:t>
      </w:r>
    </w:p>
    <w:p w14:paraId="13FA85ED" w14:textId="77777777" w:rsidR="005A7584" w:rsidRDefault="005A7584" w:rsidP="00F87F54">
      <w:pPr>
        <w:pStyle w:val="Textoindependiente"/>
        <w:spacing w:before="9"/>
        <w:jc w:val="both"/>
        <w:rPr>
          <w:sz w:val="23"/>
        </w:rPr>
      </w:pPr>
    </w:p>
    <w:p w14:paraId="13FA85EE" w14:textId="77777777" w:rsidR="005A7584" w:rsidRDefault="008B2978" w:rsidP="00F87F54">
      <w:pPr>
        <w:pStyle w:val="Textoindependiente"/>
        <w:ind w:left="1101" w:right="1664"/>
        <w:jc w:val="both"/>
      </w:pPr>
      <w:r>
        <w:t xml:space="preserve">2011). </w:t>
      </w:r>
      <w:r>
        <w:rPr>
          <w:rFonts w:ascii="Arial" w:hAnsi="Arial"/>
          <w:i/>
        </w:rPr>
        <w:t xml:space="preserve">Síndrome de ovario poliquístico </w:t>
      </w:r>
      <w:r>
        <w:t>(Vol. 4). Revista Mexicana de</w:t>
      </w:r>
      <w:r>
        <w:rPr>
          <w:spacing w:val="-64"/>
        </w:rPr>
        <w:t xml:space="preserve"> </w:t>
      </w:r>
      <w:r>
        <w:t xml:space="preserve">Medicina de la Reproduccion. </w:t>
      </w:r>
      <w:hyperlink r:id="rId7">
        <w:r>
          <w:t>http://profmx.ferring.com.mx/wp-</w:t>
        </w:r>
      </w:hyperlink>
      <w:r>
        <w:rPr>
          <w:spacing w:val="1"/>
        </w:rPr>
        <w:t xml:space="preserve"> </w:t>
      </w:r>
      <w:r>
        <w:t>content/uploads/2018/05/S%C3%ADndorme-de-Ovario-</w:t>
      </w:r>
      <w:r>
        <w:rPr>
          <w:spacing w:val="1"/>
        </w:rPr>
        <w:t xml:space="preserve"> </w:t>
      </w:r>
      <w:r>
        <w:t>poliqu%C3%ADstico.pdf</w:t>
      </w:r>
    </w:p>
    <w:p w14:paraId="13FA85EF" w14:textId="77777777" w:rsidR="005A7584" w:rsidRDefault="005A7584" w:rsidP="00F87F54">
      <w:pPr>
        <w:pStyle w:val="Textoindependiente"/>
        <w:spacing w:before="5"/>
        <w:jc w:val="both"/>
      </w:pPr>
    </w:p>
    <w:p w14:paraId="13FA85F0" w14:textId="77777777" w:rsidR="005A7584" w:rsidRDefault="008B2978" w:rsidP="00F87F54">
      <w:pPr>
        <w:pStyle w:val="Textoindependiente"/>
        <w:ind w:left="382"/>
        <w:jc w:val="both"/>
      </w:pPr>
      <w:r>
        <w:t>Teresa</w:t>
      </w:r>
      <w:r>
        <w:rPr>
          <w:spacing w:val="-2"/>
        </w:rPr>
        <w:t xml:space="preserve"> </w:t>
      </w:r>
      <w:r>
        <w:t>Sir,</w:t>
      </w:r>
      <w:r>
        <w:rPr>
          <w:spacing w:val="-2"/>
        </w:rPr>
        <w:t xml:space="preserve"> </w:t>
      </w:r>
      <w:r>
        <w:t>P.,</w:t>
      </w:r>
      <w:r>
        <w:rPr>
          <w:spacing w:val="-2"/>
        </w:rPr>
        <w:t xml:space="preserve"> </w:t>
      </w:r>
      <w:r>
        <w:t>Dra,</w:t>
      </w:r>
      <w:r>
        <w:rPr>
          <w:spacing w:val="-2"/>
        </w:rPr>
        <w:t xml:space="preserve"> </w:t>
      </w:r>
      <w:r>
        <w:t>Jessica</w:t>
      </w:r>
      <w:r>
        <w:rPr>
          <w:spacing w:val="-2"/>
        </w:rPr>
        <w:t xml:space="preserve"> </w:t>
      </w:r>
      <w:r>
        <w:t>Preisler,</w:t>
      </w:r>
      <w:r>
        <w:rPr>
          <w:spacing w:val="-2"/>
        </w:rPr>
        <w:t xml:space="preserve"> </w:t>
      </w:r>
      <w:r>
        <w:t>R.,</w:t>
      </w:r>
      <w:r>
        <w:rPr>
          <w:spacing w:val="-4"/>
        </w:rPr>
        <w:t xml:space="preserve"> </w:t>
      </w:r>
      <w:r>
        <w:t>&amp;</w:t>
      </w:r>
      <w:r>
        <w:rPr>
          <w:spacing w:val="-2"/>
        </w:rPr>
        <w:t xml:space="preserve"> </w:t>
      </w:r>
      <w:r>
        <w:t>Amiram</w:t>
      </w:r>
      <w:r>
        <w:rPr>
          <w:spacing w:val="-1"/>
        </w:rPr>
        <w:t xml:space="preserve"> </w:t>
      </w:r>
      <w:r>
        <w:t>Magendzo,</w:t>
      </w:r>
      <w:r>
        <w:rPr>
          <w:spacing w:val="-2"/>
        </w:rPr>
        <w:t xml:space="preserve"> </w:t>
      </w:r>
      <w:r>
        <w:t>N.</w:t>
      </w:r>
      <w:r>
        <w:rPr>
          <w:spacing w:val="-2"/>
        </w:rPr>
        <w:t xml:space="preserve"> </w:t>
      </w:r>
      <w:r>
        <w:t>(2013).</w:t>
      </w:r>
    </w:p>
    <w:p w14:paraId="13FA85F1" w14:textId="77777777" w:rsidR="005A7584" w:rsidRDefault="005A7584" w:rsidP="00F87F54">
      <w:pPr>
        <w:pStyle w:val="Textoindependiente"/>
        <w:spacing w:before="1"/>
        <w:jc w:val="both"/>
      </w:pPr>
    </w:p>
    <w:p w14:paraId="13FA85F2" w14:textId="77777777" w:rsidR="005A7584" w:rsidRDefault="008B2978" w:rsidP="00F87F54">
      <w:pPr>
        <w:ind w:left="1101" w:right="1435"/>
        <w:jc w:val="both"/>
        <w:rPr>
          <w:sz w:val="24"/>
        </w:rPr>
      </w:pPr>
      <w:r>
        <w:rPr>
          <w:sz w:val="24"/>
        </w:rPr>
        <w:t xml:space="preserve">Síndrome de ovario poliquístico. diagnóstico y manejo. </w:t>
      </w:r>
      <w:r>
        <w:rPr>
          <w:rFonts w:ascii="Arial" w:hAnsi="Arial"/>
          <w:i/>
          <w:sz w:val="24"/>
        </w:rPr>
        <w:t>Revista Médica</w:t>
      </w:r>
      <w:r>
        <w:rPr>
          <w:rFonts w:ascii="Arial" w:hAnsi="Arial"/>
          <w:i/>
          <w:spacing w:val="-64"/>
          <w:sz w:val="24"/>
        </w:rPr>
        <w:t xml:space="preserve"> </w:t>
      </w:r>
      <w:r>
        <w:rPr>
          <w:rFonts w:ascii="Arial" w:hAnsi="Arial"/>
          <w:i/>
          <w:sz w:val="24"/>
        </w:rPr>
        <w:t>Clínica</w:t>
      </w:r>
      <w:r>
        <w:rPr>
          <w:rFonts w:ascii="Arial" w:hAnsi="Arial"/>
          <w:i/>
          <w:spacing w:val="-2"/>
          <w:sz w:val="24"/>
        </w:rPr>
        <w:t xml:space="preserve"> </w:t>
      </w:r>
      <w:r>
        <w:rPr>
          <w:rFonts w:ascii="Arial" w:hAnsi="Arial"/>
          <w:i/>
          <w:sz w:val="24"/>
        </w:rPr>
        <w:t>Las</w:t>
      </w:r>
      <w:r>
        <w:rPr>
          <w:rFonts w:ascii="Arial" w:hAnsi="Arial"/>
          <w:i/>
          <w:spacing w:val="-2"/>
          <w:sz w:val="24"/>
        </w:rPr>
        <w:t xml:space="preserve"> </w:t>
      </w:r>
      <w:r>
        <w:rPr>
          <w:rFonts w:ascii="Arial" w:hAnsi="Arial"/>
          <w:i/>
          <w:sz w:val="24"/>
        </w:rPr>
        <w:t>Condes</w:t>
      </w:r>
      <w:r>
        <w:rPr>
          <w:sz w:val="24"/>
        </w:rPr>
        <w:t>,</w:t>
      </w:r>
      <w:r>
        <w:rPr>
          <w:spacing w:val="-4"/>
          <w:sz w:val="24"/>
        </w:rPr>
        <w:t xml:space="preserve"> </w:t>
      </w:r>
      <w:r>
        <w:rPr>
          <w:rFonts w:ascii="Arial" w:hAnsi="Arial"/>
          <w:i/>
          <w:sz w:val="24"/>
        </w:rPr>
        <w:t>24</w:t>
      </w:r>
      <w:r>
        <w:rPr>
          <w:sz w:val="24"/>
        </w:rPr>
        <w:t>(5),</w:t>
      </w:r>
      <w:r>
        <w:rPr>
          <w:spacing w:val="-2"/>
          <w:sz w:val="24"/>
        </w:rPr>
        <w:t xml:space="preserve"> </w:t>
      </w:r>
      <w:r>
        <w:rPr>
          <w:sz w:val="24"/>
        </w:rPr>
        <w:t>818–826.</w:t>
      </w:r>
      <w:r>
        <w:rPr>
          <w:spacing w:val="-4"/>
          <w:sz w:val="24"/>
        </w:rPr>
        <w:t xml:space="preserve"> </w:t>
      </w:r>
      <w:r>
        <w:rPr>
          <w:sz w:val="24"/>
        </w:rPr>
        <w:t>https://doi.org/10.1016/s0716-</w:t>
      </w:r>
    </w:p>
    <w:p w14:paraId="13FA85F3" w14:textId="77777777" w:rsidR="005A7584" w:rsidRDefault="008B2978" w:rsidP="00F87F54">
      <w:pPr>
        <w:pStyle w:val="Textoindependiente"/>
        <w:ind w:left="1101"/>
        <w:jc w:val="both"/>
      </w:pPr>
      <w:r>
        <w:t>8640(13)70229-3</w:t>
      </w:r>
    </w:p>
    <w:sectPr w:rsidR="005A7584" w:rsidSect="0058288F">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72A"/>
    <w:multiLevelType w:val="hybridMultilevel"/>
    <w:tmpl w:val="866A12AA"/>
    <w:lvl w:ilvl="0" w:tplc="080A0001">
      <w:start w:val="1"/>
      <w:numFmt w:val="bullet"/>
      <w:lvlText w:val=""/>
      <w:lvlJc w:val="left"/>
      <w:pPr>
        <w:ind w:left="1102" w:hanging="360"/>
      </w:pPr>
      <w:rPr>
        <w:rFonts w:ascii="Symbol" w:hAnsi="Symbol" w:hint="default"/>
      </w:rPr>
    </w:lvl>
    <w:lvl w:ilvl="1" w:tplc="080A0003" w:tentative="1">
      <w:start w:val="1"/>
      <w:numFmt w:val="bullet"/>
      <w:lvlText w:val="o"/>
      <w:lvlJc w:val="left"/>
      <w:pPr>
        <w:ind w:left="1822" w:hanging="360"/>
      </w:pPr>
      <w:rPr>
        <w:rFonts w:ascii="Courier New" w:hAnsi="Courier New" w:cs="Courier New" w:hint="default"/>
      </w:rPr>
    </w:lvl>
    <w:lvl w:ilvl="2" w:tplc="080A0005" w:tentative="1">
      <w:start w:val="1"/>
      <w:numFmt w:val="bullet"/>
      <w:lvlText w:val=""/>
      <w:lvlJc w:val="left"/>
      <w:pPr>
        <w:ind w:left="2542" w:hanging="360"/>
      </w:pPr>
      <w:rPr>
        <w:rFonts w:ascii="Wingdings" w:hAnsi="Wingdings" w:hint="default"/>
      </w:rPr>
    </w:lvl>
    <w:lvl w:ilvl="3" w:tplc="080A0001" w:tentative="1">
      <w:start w:val="1"/>
      <w:numFmt w:val="bullet"/>
      <w:lvlText w:val=""/>
      <w:lvlJc w:val="left"/>
      <w:pPr>
        <w:ind w:left="3262" w:hanging="360"/>
      </w:pPr>
      <w:rPr>
        <w:rFonts w:ascii="Symbol" w:hAnsi="Symbol" w:hint="default"/>
      </w:rPr>
    </w:lvl>
    <w:lvl w:ilvl="4" w:tplc="080A0003" w:tentative="1">
      <w:start w:val="1"/>
      <w:numFmt w:val="bullet"/>
      <w:lvlText w:val="o"/>
      <w:lvlJc w:val="left"/>
      <w:pPr>
        <w:ind w:left="3982" w:hanging="360"/>
      </w:pPr>
      <w:rPr>
        <w:rFonts w:ascii="Courier New" w:hAnsi="Courier New" w:cs="Courier New" w:hint="default"/>
      </w:rPr>
    </w:lvl>
    <w:lvl w:ilvl="5" w:tplc="080A0005" w:tentative="1">
      <w:start w:val="1"/>
      <w:numFmt w:val="bullet"/>
      <w:lvlText w:val=""/>
      <w:lvlJc w:val="left"/>
      <w:pPr>
        <w:ind w:left="4702" w:hanging="360"/>
      </w:pPr>
      <w:rPr>
        <w:rFonts w:ascii="Wingdings" w:hAnsi="Wingdings" w:hint="default"/>
      </w:rPr>
    </w:lvl>
    <w:lvl w:ilvl="6" w:tplc="080A0001" w:tentative="1">
      <w:start w:val="1"/>
      <w:numFmt w:val="bullet"/>
      <w:lvlText w:val=""/>
      <w:lvlJc w:val="left"/>
      <w:pPr>
        <w:ind w:left="5422" w:hanging="360"/>
      </w:pPr>
      <w:rPr>
        <w:rFonts w:ascii="Symbol" w:hAnsi="Symbol" w:hint="default"/>
      </w:rPr>
    </w:lvl>
    <w:lvl w:ilvl="7" w:tplc="080A0003" w:tentative="1">
      <w:start w:val="1"/>
      <w:numFmt w:val="bullet"/>
      <w:lvlText w:val="o"/>
      <w:lvlJc w:val="left"/>
      <w:pPr>
        <w:ind w:left="6142" w:hanging="360"/>
      </w:pPr>
      <w:rPr>
        <w:rFonts w:ascii="Courier New" w:hAnsi="Courier New" w:cs="Courier New" w:hint="default"/>
      </w:rPr>
    </w:lvl>
    <w:lvl w:ilvl="8" w:tplc="080A0005" w:tentative="1">
      <w:start w:val="1"/>
      <w:numFmt w:val="bullet"/>
      <w:lvlText w:val=""/>
      <w:lvlJc w:val="left"/>
      <w:pPr>
        <w:ind w:left="6862" w:hanging="360"/>
      </w:pPr>
      <w:rPr>
        <w:rFonts w:ascii="Wingdings" w:hAnsi="Wingdings" w:hint="default"/>
      </w:rPr>
    </w:lvl>
  </w:abstractNum>
  <w:abstractNum w:abstractNumId="1" w15:restartNumberingAfterBreak="0">
    <w:nsid w:val="13E01E1C"/>
    <w:multiLevelType w:val="hybridMultilevel"/>
    <w:tmpl w:val="B63EF2AA"/>
    <w:lvl w:ilvl="0" w:tplc="080A0001">
      <w:start w:val="1"/>
      <w:numFmt w:val="bullet"/>
      <w:lvlText w:val=""/>
      <w:lvlJc w:val="left"/>
      <w:pPr>
        <w:ind w:left="1102" w:hanging="360"/>
      </w:pPr>
      <w:rPr>
        <w:rFonts w:ascii="Symbol" w:hAnsi="Symbol" w:hint="default"/>
      </w:rPr>
    </w:lvl>
    <w:lvl w:ilvl="1" w:tplc="080A0003" w:tentative="1">
      <w:start w:val="1"/>
      <w:numFmt w:val="bullet"/>
      <w:lvlText w:val="o"/>
      <w:lvlJc w:val="left"/>
      <w:pPr>
        <w:ind w:left="1822" w:hanging="360"/>
      </w:pPr>
      <w:rPr>
        <w:rFonts w:ascii="Courier New" w:hAnsi="Courier New" w:cs="Courier New" w:hint="default"/>
      </w:rPr>
    </w:lvl>
    <w:lvl w:ilvl="2" w:tplc="080A0005" w:tentative="1">
      <w:start w:val="1"/>
      <w:numFmt w:val="bullet"/>
      <w:lvlText w:val=""/>
      <w:lvlJc w:val="left"/>
      <w:pPr>
        <w:ind w:left="2542" w:hanging="360"/>
      </w:pPr>
      <w:rPr>
        <w:rFonts w:ascii="Wingdings" w:hAnsi="Wingdings" w:hint="default"/>
      </w:rPr>
    </w:lvl>
    <w:lvl w:ilvl="3" w:tplc="080A0001" w:tentative="1">
      <w:start w:val="1"/>
      <w:numFmt w:val="bullet"/>
      <w:lvlText w:val=""/>
      <w:lvlJc w:val="left"/>
      <w:pPr>
        <w:ind w:left="3262" w:hanging="360"/>
      </w:pPr>
      <w:rPr>
        <w:rFonts w:ascii="Symbol" w:hAnsi="Symbol" w:hint="default"/>
      </w:rPr>
    </w:lvl>
    <w:lvl w:ilvl="4" w:tplc="080A0003" w:tentative="1">
      <w:start w:val="1"/>
      <w:numFmt w:val="bullet"/>
      <w:lvlText w:val="o"/>
      <w:lvlJc w:val="left"/>
      <w:pPr>
        <w:ind w:left="3982" w:hanging="360"/>
      </w:pPr>
      <w:rPr>
        <w:rFonts w:ascii="Courier New" w:hAnsi="Courier New" w:cs="Courier New" w:hint="default"/>
      </w:rPr>
    </w:lvl>
    <w:lvl w:ilvl="5" w:tplc="080A0005" w:tentative="1">
      <w:start w:val="1"/>
      <w:numFmt w:val="bullet"/>
      <w:lvlText w:val=""/>
      <w:lvlJc w:val="left"/>
      <w:pPr>
        <w:ind w:left="4702" w:hanging="360"/>
      </w:pPr>
      <w:rPr>
        <w:rFonts w:ascii="Wingdings" w:hAnsi="Wingdings" w:hint="default"/>
      </w:rPr>
    </w:lvl>
    <w:lvl w:ilvl="6" w:tplc="080A0001" w:tentative="1">
      <w:start w:val="1"/>
      <w:numFmt w:val="bullet"/>
      <w:lvlText w:val=""/>
      <w:lvlJc w:val="left"/>
      <w:pPr>
        <w:ind w:left="5422" w:hanging="360"/>
      </w:pPr>
      <w:rPr>
        <w:rFonts w:ascii="Symbol" w:hAnsi="Symbol" w:hint="default"/>
      </w:rPr>
    </w:lvl>
    <w:lvl w:ilvl="7" w:tplc="080A0003" w:tentative="1">
      <w:start w:val="1"/>
      <w:numFmt w:val="bullet"/>
      <w:lvlText w:val="o"/>
      <w:lvlJc w:val="left"/>
      <w:pPr>
        <w:ind w:left="6142" w:hanging="360"/>
      </w:pPr>
      <w:rPr>
        <w:rFonts w:ascii="Courier New" w:hAnsi="Courier New" w:cs="Courier New" w:hint="default"/>
      </w:rPr>
    </w:lvl>
    <w:lvl w:ilvl="8" w:tplc="080A0005" w:tentative="1">
      <w:start w:val="1"/>
      <w:numFmt w:val="bullet"/>
      <w:lvlText w:val=""/>
      <w:lvlJc w:val="left"/>
      <w:pPr>
        <w:ind w:left="6862" w:hanging="360"/>
      </w:pPr>
      <w:rPr>
        <w:rFonts w:ascii="Wingdings" w:hAnsi="Wingdings" w:hint="default"/>
      </w:rPr>
    </w:lvl>
  </w:abstractNum>
  <w:abstractNum w:abstractNumId="2" w15:restartNumberingAfterBreak="0">
    <w:nsid w:val="13E209B0"/>
    <w:multiLevelType w:val="hybridMultilevel"/>
    <w:tmpl w:val="0B46F46A"/>
    <w:lvl w:ilvl="0" w:tplc="080A0001">
      <w:start w:val="1"/>
      <w:numFmt w:val="bullet"/>
      <w:lvlText w:val=""/>
      <w:lvlJc w:val="left"/>
      <w:pPr>
        <w:ind w:left="720" w:hanging="360"/>
      </w:pPr>
      <w:rPr>
        <w:rFonts w:ascii="Symbol" w:hAnsi="Symbol" w:hint="default"/>
      </w:rPr>
    </w:lvl>
    <w:lvl w:ilvl="1" w:tplc="25D0103E">
      <w:start w:val="10"/>
      <w:numFmt w:val="bullet"/>
      <w:lvlText w:val=""/>
      <w:lvlJc w:val="left"/>
      <w:pPr>
        <w:ind w:left="1488" w:hanging="408"/>
      </w:pPr>
      <w:rPr>
        <w:rFonts w:ascii="Wingdings" w:eastAsia="Arial MT" w:hAnsi="Wingdings" w:cs="Arial MT"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8C6BE1"/>
    <w:multiLevelType w:val="hybridMultilevel"/>
    <w:tmpl w:val="D25C9170"/>
    <w:lvl w:ilvl="0" w:tplc="080A0001">
      <w:start w:val="1"/>
      <w:numFmt w:val="bullet"/>
      <w:lvlText w:val=""/>
      <w:lvlJc w:val="left"/>
      <w:pPr>
        <w:ind w:left="1102" w:hanging="360"/>
      </w:pPr>
      <w:rPr>
        <w:rFonts w:ascii="Symbol" w:hAnsi="Symbol" w:hint="default"/>
      </w:rPr>
    </w:lvl>
    <w:lvl w:ilvl="1" w:tplc="080A0003" w:tentative="1">
      <w:start w:val="1"/>
      <w:numFmt w:val="bullet"/>
      <w:lvlText w:val="o"/>
      <w:lvlJc w:val="left"/>
      <w:pPr>
        <w:ind w:left="1822" w:hanging="360"/>
      </w:pPr>
      <w:rPr>
        <w:rFonts w:ascii="Courier New" w:hAnsi="Courier New" w:cs="Courier New" w:hint="default"/>
      </w:rPr>
    </w:lvl>
    <w:lvl w:ilvl="2" w:tplc="080A0005" w:tentative="1">
      <w:start w:val="1"/>
      <w:numFmt w:val="bullet"/>
      <w:lvlText w:val=""/>
      <w:lvlJc w:val="left"/>
      <w:pPr>
        <w:ind w:left="2542" w:hanging="360"/>
      </w:pPr>
      <w:rPr>
        <w:rFonts w:ascii="Wingdings" w:hAnsi="Wingdings" w:hint="default"/>
      </w:rPr>
    </w:lvl>
    <w:lvl w:ilvl="3" w:tplc="080A0001" w:tentative="1">
      <w:start w:val="1"/>
      <w:numFmt w:val="bullet"/>
      <w:lvlText w:val=""/>
      <w:lvlJc w:val="left"/>
      <w:pPr>
        <w:ind w:left="3262" w:hanging="360"/>
      </w:pPr>
      <w:rPr>
        <w:rFonts w:ascii="Symbol" w:hAnsi="Symbol" w:hint="default"/>
      </w:rPr>
    </w:lvl>
    <w:lvl w:ilvl="4" w:tplc="080A0003" w:tentative="1">
      <w:start w:val="1"/>
      <w:numFmt w:val="bullet"/>
      <w:lvlText w:val="o"/>
      <w:lvlJc w:val="left"/>
      <w:pPr>
        <w:ind w:left="3982" w:hanging="360"/>
      </w:pPr>
      <w:rPr>
        <w:rFonts w:ascii="Courier New" w:hAnsi="Courier New" w:cs="Courier New" w:hint="default"/>
      </w:rPr>
    </w:lvl>
    <w:lvl w:ilvl="5" w:tplc="080A0005" w:tentative="1">
      <w:start w:val="1"/>
      <w:numFmt w:val="bullet"/>
      <w:lvlText w:val=""/>
      <w:lvlJc w:val="left"/>
      <w:pPr>
        <w:ind w:left="4702" w:hanging="360"/>
      </w:pPr>
      <w:rPr>
        <w:rFonts w:ascii="Wingdings" w:hAnsi="Wingdings" w:hint="default"/>
      </w:rPr>
    </w:lvl>
    <w:lvl w:ilvl="6" w:tplc="080A0001" w:tentative="1">
      <w:start w:val="1"/>
      <w:numFmt w:val="bullet"/>
      <w:lvlText w:val=""/>
      <w:lvlJc w:val="left"/>
      <w:pPr>
        <w:ind w:left="5422" w:hanging="360"/>
      </w:pPr>
      <w:rPr>
        <w:rFonts w:ascii="Symbol" w:hAnsi="Symbol" w:hint="default"/>
      </w:rPr>
    </w:lvl>
    <w:lvl w:ilvl="7" w:tplc="080A0003" w:tentative="1">
      <w:start w:val="1"/>
      <w:numFmt w:val="bullet"/>
      <w:lvlText w:val="o"/>
      <w:lvlJc w:val="left"/>
      <w:pPr>
        <w:ind w:left="6142" w:hanging="360"/>
      </w:pPr>
      <w:rPr>
        <w:rFonts w:ascii="Courier New" w:hAnsi="Courier New" w:cs="Courier New" w:hint="default"/>
      </w:rPr>
    </w:lvl>
    <w:lvl w:ilvl="8" w:tplc="080A0005" w:tentative="1">
      <w:start w:val="1"/>
      <w:numFmt w:val="bullet"/>
      <w:lvlText w:val=""/>
      <w:lvlJc w:val="left"/>
      <w:pPr>
        <w:ind w:left="6862" w:hanging="360"/>
      </w:pPr>
      <w:rPr>
        <w:rFonts w:ascii="Wingdings" w:hAnsi="Wingdings" w:hint="default"/>
      </w:rPr>
    </w:lvl>
  </w:abstractNum>
  <w:abstractNum w:abstractNumId="4" w15:restartNumberingAfterBreak="0">
    <w:nsid w:val="21B72062"/>
    <w:multiLevelType w:val="hybridMultilevel"/>
    <w:tmpl w:val="F0C8F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A66BB0"/>
    <w:multiLevelType w:val="hybridMultilevel"/>
    <w:tmpl w:val="0346E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0F3F8C"/>
    <w:multiLevelType w:val="hybridMultilevel"/>
    <w:tmpl w:val="58A671BA"/>
    <w:lvl w:ilvl="0" w:tplc="A50EAC06">
      <w:numFmt w:val="bullet"/>
      <w:lvlText w:val=""/>
      <w:lvlJc w:val="left"/>
      <w:pPr>
        <w:ind w:left="742" w:hanging="360"/>
      </w:pPr>
      <w:rPr>
        <w:rFonts w:ascii="Wingdings" w:eastAsia="Arial MT" w:hAnsi="Wingdings" w:cs="Arial M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C36FF5"/>
    <w:multiLevelType w:val="hybridMultilevel"/>
    <w:tmpl w:val="D17894AE"/>
    <w:lvl w:ilvl="0" w:tplc="A50EAC06">
      <w:numFmt w:val="bullet"/>
      <w:lvlText w:val=""/>
      <w:lvlJc w:val="left"/>
      <w:pPr>
        <w:ind w:left="742" w:hanging="360"/>
      </w:pPr>
      <w:rPr>
        <w:rFonts w:ascii="Wingdings" w:eastAsia="Arial MT" w:hAnsi="Wingdings" w:cs="Arial MT" w:hint="default"/>
      </w:rPr>
    </w:lvl>
    <w:lvl w:ilvl="1" w:tplc="080A0003" w:tentative="1">
      <w:start w:val="1"/>
      <w:numFmt w:val="bullet"/>
      <w:lvlText w:val="o"/>
      <w:lvlJc w:val="left"/>
      <w:pPr>
        <w:ind w:left="1462" w:hanging="360"/>
      </w:pPr>
      <w:rPr>
        <w:rFonts w:ascii="Courier New" w:hAnsi="Courier New" w:cs="Courier New" w:hint="default"/>
      </w:rPr>
    </w:lvl>
    <w:lvl w:ilvl="2" w:tplc="080A0005" w:tentative="1">
      <w:start w:val="1"/>
      <w:numFmt w:val="bullet"/>
      <w:lvlText w:val=""/>
      <w:lvlJc w:val="left"/>
      <w:pPr>
        <w:ind w:left="2182" w:hanging="360"/>
      </w:pPr>
      <w:rPr>
        <w:rFonts w:ascii="Wingdings" w:hAnsi="Wingdings" w:hint="default"/>
      </w:rPr>
    </w:lvl>
    <w:lvl w:ilvl="3" w:tplc="080A0001" w:tentative="1">
      <w:start w:val="1"/>
      <w:numFmt w:val="bullet"/>
      <w:lvlText w:val=""/>
      <w:lvlJc w:val="left"/>
      <w:pPr>
        <w:ind w:left="2902" w:hanging="360"/>
      </w:pPr>
      <w:rPr>
        <w:rFonts w:ascii="Symbol" w:hAnsi="Symbol" w:hint="default"/>
      </w:rPr>
    </w:lvl>
    <w:lvl w:ilvl="4" w:tplc="080A0003" w:tentative="1">
      <w:start w:val="1"/>
      <w:numFmt w:val="bullet"/>
      <w:lvlText w:val="o"/>
      <w:lvlJc w:val="left"/>
      <w:pPr>
        <w:ind w:left="3622" w:hanging="360"/>
      </w:pPr>
      <w:rPr>
        <w:rFonts w:ascii="Courier New" w:hAnsi="Courier New" w:cs="Courier New" w:hint="default"/>
      </w:rPr>
    </w:lvl>
    <w:lvl w:ilvl="5" w:tplc="080A0005" w:tentative="1">
      <w:start w:val="1"/>
      <w:numFmt w:val="bullet"/>
      <w:lvlText w:val=""/>
      <w:lvlJc w:val="left"/>
      <w:pPr>
        <w:ind w:left="4342" w:hanging="360"/>
      </w:pPr>
      <w:rPr>
        <w:rFonts w:ascii="Wingdings" w:hAnsi="Wingdings" w:hint="default"/>
      </w:rPr>
    </w:lvl>
    <w:lvl w:ilvl="6" w:tplc="080A0001" w:tentative="1">
      <w:start w:val="1"/>
      <w:numFmt w:val="bullet"/>
      <w:lvlText w:val=""/>
      <w:lvlJc w:val="left"/>
      <w:pPr>
        <w:ind w:left="5062" w:hanging="360"/>
      </w:pPr>
      <w:rPr>
        <w:rFonts w:ascii="Symbol" w:hAnsi="Symbol" w:hint="default"/>
      </w:rPr>
    </w:lvl>
    <w:lvl w:ilvl="7" w:tplc="080A0003" w:tentative="1">
      <w:start w:val="1"/>
      <w:numFmt w:val="bullet"/>
      <w:lvlText w:val="o"/>
      <w:lvlJc w:val="left"/>
      <w:pPr>
        <w:ind w:left="5782" w:hanging="360"/>
      </w:pPr>
      <w:rPr>
        <w:rFonts w:ascii="Courier New" w:hAnsi="Courier New" w:cs="Courier New" w:hint="default"/>
      </w:rPr>
    </w:lvl>
    <w:lvl w:ilvl="8" w:tplc="080A0005" w:tentative="1">
      <w:start w:val="1"/>
      <w:numFmt w:val="bullet"/>
      <w:lvlText w:val=""/>
      <w:lvlJc w:val="left"/>
      <w:pPr>
        <w:ind w:left="6502" w:hanging="360"/>
      </w:pPr>
      <w:rPr>
        <w:rFonts w:ascii="Wingdings" w:hAnsi="Wingdings" w:hint="default"/>
      </w:rPr>
    </w:lvl>
  </w:abstractNum>
  <w:abstractNum w:abstractNumId="8" w15:restartNumberingAfterBreak="0">
    <w:nsid w:val="4C0A6B6E"/>
    <w:multiLevelType w:val="hybridMultilevel"/>
    <w:tmpl w:val="760AE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DB55F5A"/>
    <w:multiLevelType w:val="hybridMultilevel"/>
    <w:tmpl w:val="74D0D5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E96D0B"/>
    <w:multiLevelType w:val="hybridMultilevel"/>
    <w:tmpl w:val="16700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7F2E80"/>
    <w:multiLevelType w:val="hybridMultilevel"/>
    <w:tmpl w:val="88EC62A0"/>
    <w:lvl w:ilvl="0" w:tplc="080A0001">
      <w:start w:val="1"/>
      <w:numFmt w:val="bullet"/>
      <w:lvlText w:val=""/>
      <w:lvlJc w:val="left"/>
      <w:pPr>
        <w:ind w:left="1102" w:hanging="360"/>
      </w:pPr>
      <w:rPr>
        <w:rFonts w:ascii="Symbol" w:hAnsi="Symbol" w:hint="default"/>
      </w:rPr>
    </w:lvl>
    <w:lvl w:ilvl="1" w:tplc="080A0003" w:tentative="1">
      <w:start w:val="1"/>
      <w:numFmt w:val="bullet"/>
      <w:lvlText w:val="o"/>
      <w:lvlJc w:val="left"/>
      <w:pPr>
        <w:ind w:left="1822" w:hanging="360"/>
      </w:pPr>
      <w:rPr>
        <w:rFonts w:ascii="Courier New" w:hAnsi="Courier New" w:cs="Courier New" w:hint="default"/>
      </w:rPr>
    </w:lvl>
    <w:lvl w:ilvl="2" w:tplc="080A0005" w:tentative="1">
      <w:start w:val="1"/>
      <w:numFmt w:val="bullet"/>
      <w:lvlText w:val=""/>
      <w:lvlJc w:val="left"/>
      <w:pPr>
        <w:ind w:left="2542" w:hanging="360"/>
      </w:pPr>
      <w:rPr>
        <w:rFonts w:ascii="Wingdings" w:hAnsi="Wingdings" w:hint="default"/>
      </w:rPr>
    </w:lvl>
    <w:lvl w:ilvl="3" w:tplc="080A0001" w:tentative="1">
      <w:start w:val="1"/>
      <w:numFmt w:val="bullet"/>
      <w:lvlText w:val=""/>
      <w:lvlJc w:val="left"/>
      <w:pPr>
        <w:ind w:left="3262" w:hanging="360"/>
      </w:pPr>
      <w:rPr>
        <w:rFonts w:ascii="Symbol" w:hAnsi="Symbol" w:hint="default"/>
      </w:rPr>
    </w:lvl>
    <w:lvl w:ilvl="4" w:tplc="080A0003" w:tentative="1">
      <w:start w:val="1"/>
      <w:numFmt w:val="bullet"/>
      <w:lvlText w:val="o"/>
      <w:lvlJc w:val="left"/>
      <w:pPr>
        <w:ind w:left="3982" w:hanging="360"/>
      </w:pPr>
      <w:rPr>
        <w:rFonts w:ascii="Courier New" w:hAnsi="Courier New" w:cs="Courier New" w:hint="default"/>
      </w:rPr>
    </w:lvl>
    <w:lvl w:ilvl="5" w:tplc="080A0005" w:tentative="1">
      <w:start w:val="1"/>
      <w:numFmt w:val="bullet"/>
      <w:lvlText w:val=""/>
      <w:lvlJc w:val="left"/>
      <w:pPr>
        <w:ind w:left="4702" w:hanging="360"/>
      </w:pPr>
      <w:rPr>
        <w:rFonts w:ascii="Wingdings" w:hAnsi="Wingdings" w:hint="default"/>
      </w:rPr>
    </w:lvl>
    <w:lvl w:ilvl="6" w:tplc="080A0001" w:tentative="1">
      <w:start w:val="1"/>
      <w:numFmt w:val="bullet"/>
      <w:lvlText w:val=""/>
      <w:lvlJc w:val="left"/>
      <w:pPr>
        <w:ind w:left="5422" w:hanging="360"/>
      </w:pPr>
      <w:rPr>
        <w:rFonts w:ascii="Symbol" w:hAnsi="Symbol" w:hint="default"/>
      </w:rPr>
    </w:lvl>
    <w:lvl w:ilvl="7" w:tplc="080A0003" w:tentative="1">
      <w:start w:val="1"/>
      <w:numFmt w:val="bullet"/>
      <w:lvlText w:val="o"/>
      <w:lvlJc w:val="left"/>
      <w:pPr>
        <w:ind w:left="6142" w:hanging="360"/>
      </w:pPr>
      <w:rPr>
        <w:rFonts w:ascii="Courier New" w:hAnsi="Courier New" w:cs="Courier New" w:hint="default"/>
      </w:rPr>
    </w:lvl>
    <w:lvl w:ilvl="8" w:tplc="080A0005" w:tentative="1">
      <w:start w:val="1"/>
      <w:numFmt w:val="bullet"/>
      <w:lvlText w:val=""/>
      <w:lvlJc w:val="left"/>
      <w:pPr>
        <w:ind w:left="6862" w:hanging="360"/>
      </w:pPr>
      <w:rPr>
        <w:rFonts w:ascii="Wingdings" w:hAnsi="Wingdings" w:hint="default"/>
      </w:rPr>
    </w:lvl>
  </w:abstractNum>
  <w:abstractNum w:abstractNumId="12" w15:restartNumberingAfterBreak="0">
    <w:nsid w:val="5A232CFD"/>
    <w:multiLevelType w:val="hybridMultilevel"/>
    <w:tmpl w:val="1D1CFD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B20EC9"/>
    <w:multiLevelType w:val="hybridMultilevel"/>
    <w:tmpl w:val="BF9C3C0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716516243">
    <w:abstractNumId w:val="11"/>
  </w:num>
  <w:num w:numId="2" w16cid:durableId="971905457">
    <w:abstractNumId w:val="0"/>
  </w:num>
  <w:num w:numId="3" w16cid:durableId="1729262086">
    <w:abstractNumId w:val="7"/>
  </w:num>
  <w:num w:numId="4" w16cid:durableId="1985427859">
    <w:abstractNumId w:val="6"/>
  </w:num>
  <w:num w:numId="5" w16cid:durableId="112793458">
    <w:abstractNumId w:val="1"/>
  </w:num>
  <w:num w:numId="6" w16cid:durableId="180701317">
    <w:abstractNumId w:val="3"/>
  </w:num>
  <w:num w:numId="7" w16cid:durableId="195657288">
    <w:abstractNumId w:val="12"/>
  </w:num>
  <w:num w:numId="8" w16cid:durableId="1331565583">
    <w:abstractNumId w:val="8"/>
  </w:num>
  <w:num w:numId="9" w16cid:durableId="149567631">
    <w:abstractNumId w:val="10"/>
  </w:num>
  <w:num w:numId="10" w16cid:durableId="1661617012">
    <w:abstractNumId w:val="5"/>
  </w:num>
  <w:num w:numId="11" w16cid:durableId="1939213377">
    <w:abstractNumId w:val="4"/>
  </w:num>
  <w:num w:numId="12" w16cid:durableId="983000535">
    <w:abstractNumId w:val="2"/>
  </w:num>
  <w:num w:numId="13" w16cid:durableId="1537889094">
    <w:abstractNumId w:val="9"/>
  </w:num>
  <w:num w:numId="14" w16cid:durableId="1618919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A7584"/>
    <w:rsid w:val="000E6A62"/>
    <w:rsid w:val="00350BBE"/>
    <w:rsid w:val="004E2A7D"/>
    <w:rsid w:val="00523926"/>
    <w:rsid w:val="0058288F"/>
    <w:rsid w:val="005A7584"/>
    <w:rsid w:val="00825DF3"/>
    <w:rsid w:val="008B2978"/>
    <w:rsid w:val="009B5390"/>
    <w:rsid w:val="00A9150D"/>
    <w:rsid w:val="00B37458"/>
    <w:rsid w:val="00BA1762"/>
    <w:rsid w:val="00C455E5"/>
    <w:rsid w:val="00E2035B"/>
    <w:rsid w:val="00F87F54"/>
    <w:rsid w:val="00FB2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8528"/>
  <w15:docId w15:val="{F352470B-77B4-479F-86B8-7C4A30A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82"/>
      <w:outlineLvl w:val="0"/>
    </w:pPr>
    <w:rPr>
      <w:rFonts w:ascii="Arial" w:eastAsia="Arial" w:hAnsi="Arial" w:cs="Arial"/>
      <w:b/>
      <w:bCs/>
      <w:sz w:val="32"/>
      <w:szCs w:val="32"/>
    </w:rPr>
  </w:style>
  <w:style w:type="paragraph" w:styleId="Ttulo2">
    <w:name w:val="heading 2"/>
    <w:basedOn w:val="Normal"/>
    <w:uiPriority w:val="1"/>
    <w:qFormat/>
    <w:pPr>
      <w:spacing w:before="70"/>
      <w:ind w:left="382"/>
      <w:jc w:val="both"/>
      <w:outlineLvl w:val="1"/>
    </w:pPr>
    <w:rPr>
      <w:sz w:val="26"/>
      <w:szCs w:val="26"/>
    </w:rPr>
  </w:style>
  <w:style w:type="paragraph" w:styleId="Ttulo3">
    <w:name w:val="heading 3"/>
    <w:basedOn w:val="Normal"/>
    <w:next w:val="Normal"/>
    <w:link w:val="Ttulo3Car"/>
    <w:uiPriority w:val="9"/>
    <w:semiHidden/>
    <w:unhideWhenUsed/>
    <w:qFormat/>
    <w:rsid w:val="008B29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9"/>
      <w:ind w:left="382"/>
    </w:pPr>
    <w:rPr>
      <w:sz w:val="32"/>
      <w:szCs w:val="32"/>
    </w:rPr>
  </w:style>
  <w:style w:type="paragraph" w:styleId="TDC2">
    <w:name w:val="toc 2"/>
    <w:basedOn w:val="Normal"/>
    <w:uiPriority w:val="39"/>
    <w:qFormat/>
    <w:pPr>
      <w:spacing w:before="129"/>
      <w:ind w:left="602"/>
    </w:pPr>
    <w:rPr>
      <w:sz w:val="32"/>
      <w:szCs w:val="32"/>
    </w:rPr>
  </w:style>
  <w:style w:type="paragraph" w:styleId="Textoindependiente">
    <w:name w:val="Body Text"/>
    <w:basedOn w:val="Normal"/>
    <w:uiPriority w:val="1"/>
    <w:qFormat/>
    <w:rPr>
      <w:sz w:val="24"/>
      <w:szCs w:val="24"/>
    </w:rPr>
  </w:style>
  <w:style w:type="paragraph" w:styleId="Ttulo">
    <w:name w:val="Title"/>
    <w:basedOn w:val="Normal"/>
    <w:uiPriority w:val="1"/>
    <w:qFormat/>
    <w:pPr>
      <w:spacing w:before="94"/>
      <w:ind w:left="2467"/>
    </w:pPr>
    <w:rPr>
      <w:rFonts w:ascii="Trebuchet MS" w:eastAsia="Trebuchet MS" w:hAnsi="Trebuchet MS" w:cs="Trebuchet MS"/>
      <w:b/>
      <w:bCs/>
      <w:sz w:val="56"/>
      <w:szCs w:val="5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tuloTDC">
    <w:name w:val="TOC Heading"/>
    <w:basedOn w:val="Ttulo1"/>
    <w:next w:val="Normal"/>
    <w:uiPriority w:val="39"/>
    <w:unhideWhenUsed/>
    <w:qFormat/>
    <w:rsid w:val="00FB248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es-MX" w:eastAsia="es-MX"/>
    </w:rPr>
  </w:style>
  <w:style w:type="character" w:styleId="Hipervnculo">
    <w:name w:val="Hyperlink"/>
    <w:basedOn w:val="Fuentedeprrafopredeter"/>
    <w:uiPriority w:val="99"/>
    <w:unhideWhenUsed/>
    <w:rsid w:val="00FB248E"/>
    <w:rPr>
      <w:color w:val="0000FF" w:themeColor="hyperlink"/>
      <w:u w:val="single"/>
    </w:rPr>
  </w:style>
  <w:style w:type="character" w:customStyle="1" w:styleId="Ttulo3Car">
    <w:name w:val="Título 3 Car"/>
    <w:basedOn w:val="Fuentedeprrafopredeter"/>
    <w:link w:val="Ttulo3"/>
    <w:uiPriority w:val="9"/>
    <w:semiHidden/>
    <w:rsid w:val="008B2978"/>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4001">
      <w:bodyDiv w:val="1"/>
      <w:marLeft w:val="0"/>
      <w:marRight w:val="0"/>
      <w:marTop w:val="0"/>
      <w:marBottom w:val="0"/>
      <w:divBdr>
        <w:top w:val="none" w:sz="0" w:space="0" w:color="auto"/>
        <w:left w:val="none" w:sz="0" w:space="0" w:color="auto"/>
        <w:bottom w:val="none" w:sz="0" w:space="0" w:color="auto"/>
        <w:right w:val="none" w:sz="0" w:space="0" w:color="auto"/>
      </w:divBdr>
      <w:divsChild>
        <w:div w:id="1632903150">
          <w:marLeft w:val="0"/>
          <w:marRight w:val="0"/>
          <w:marTop w:val="0"/>
          <w:marBottom w:val="0"/>
          <w:divBdr>
            <w:top w:val="none" w:sz="0" w:space="0" w:color="auto"/>
            <w:left w:val="none" w:sz="0" w:space="0" w:color="auto"/>
            <w:bottom w:val="none" w:sz="0" w:space="0" w:color="auto"/>
            <w:right w:val="none" w:sz="0" w:space="0" w:color="auto"/>
          </w:divBdr>
          <w:divsChild>
            <w:div w:id="1821849114">
              <w:marLeft w:val="0"/>
              <w:marRight w:val="0"/>
              <w:marTop w:val="0"/>
              <w:marBottom w:val="0"/>
              <w:divBdr>
                <w:top w:val="none" w:sz="0" w:space="0" w:color="auto"/>
                <w:left w:val="none" w:sz="0" w:space="0" w:color="auto"/>
                <w:bottom w:val="none" w:sz="0" w:space="0" w:color="auto"/>
                <w:right w:val="none" w:sz="0" w:space="0" w:color="auto"/>
              </w:divBdr>
            </w:div>
            <w:div w:id="28384624">
              <w:marLeft w:val="0"/>
              <w:marRight w:val="0"/>
              <w:marTop w:val="0"/>
              <w:marBottom w:val="0"/>
              <w:divBdr>
                <w:top w:val="none" w:sz="0" w:space="0" w:color="auto"/>
                <w:left w:val="none" w:sz="0" w:space="0" w:color="auto"/>
                <w:bottom w:val="none" w:sz="0" w:space="0" w:color="auto"/>
                <w:right w:val="none" w:sz="0" w:space="0" w:color="auto"/>
              </w:divBdr>
              <w:divsChild>
                <w:div w:id="13266713">
                  <w:marLeft w:val="0"/>
                  <w:marRight w:val="0"/>
                  <w:marTop w:val="0"/>
                  <w:marBottom w:val="0"/>
                  <w:divBdr>
                    <w:top w:val="none" w:sz="0" w:space="0" w:color="auto"/>
                    <w:left w:val="none" w:sz="0" w:space="0" w:color="auto"/>
                    <w:bottom w:val="none" w:sz="0" w:space="0" w:color="auto"/>
                    <w:right w:val="none" w:sz="0" w:space="0" w:color="auto"/>
                  </w:divBdr>
                </w:div>
                <w:div w:id="1007902413">
                  <w:marLeft w:val="0"/>
                  <w:marRight w:val="0"/>
                  <w:marTop w:val="0"/>
                  <w:marBottom w:val="0"/>
                  <w:divBdr>
                    <w:top w:val="none" w:sz="0" w:space="0" w:color="auto"/>
                    <w:left w:val="none" w:sz="0" w:space="0" w:color="auto"/>
                    <w:bottom w:val="none" w:sz="0" w:space="0" w:color="auto"/>
                    <w:right w:val="none" w:sz="0" w:space="0" w:color="auto"/>
                  </w:divBdr>
                </w:div>
              </w:divsChild>
            </w:div>
            <w:div w:id="1523786560">
              <w:marLeft w:val="0"/>
              <w:marRight w:val="0"/>
              <w:marTop w:val="0"/>
              <w:marBottom w:val="0"/>
              <w:divBdr>
                <w:top w:val="none" w:sz="0" w:space="0" w:color="auto"/>
                <w:left w:val="none" w:sz="0" w:space="0" w:color="auto"/>
                <w:bottom w:val="none" w:sz="0" w:space="0" w:color="auto"/>
                <w:right w:val="none" w:sz="0" w:space="0" w:color="auto"/>
              </w:divBdr>
            </w:div>
            <w:div w:id="16013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80811">
      <w:bodyDiv w:val="1"/>
      <w:marLeft w:val="0"/>
      <w:marRight w:val="0"/>
      <w:marTop w:val="0"/>
      <w:marBottom w:val="0"/>
      <w:divBdr>
        <w:top w:val="none" w:sz="0" w:space="0" w:color="auto"/>
        <w:left w:val="none" w:sz="0" w:space="0" w:color="auto"/>
        <w:bottom w:val="none" w:sz="0" w:space="0" w:color="auto"/>
        <w:right w:val="none" w:sz="0" w:space="0" w:color="auto"/>
      </w:divBdr>
      <w:divsChild>
        <w:div w:id="1184368389">
          <w:marLeft w:val="0"/>
          <w:marRight w:val="0"/>
          <w:marTop w:val="0"/>
          <w:marBottom w:val="0"/>
          <w:divBdr>
            <w:top w:val="none" w:sz="0" w:space="0" w:color="auto"/>
            <w:left w:val="none" w:sz="0" w:space="0" w:color="auto"/>
            <w:bottom w:val="none" w:sz="0" w:space="0" w:color="auto"/>
            <w:right w:val="none" w:sz="0" w:space="0" w:color="auto"/>
          </w:divBdr>
          <w:divsChild>
            <w:div w:id="1823423561">
              <w:marLeft w:val="0"/>
              <w:marRight w:val="0"/>
              <w:marTop w:val="0"/>
              <w:marBottom w:val="225"/>
              <w:divBdr>
                <w:top w:val="none" w:sz="0" w:space="0" w:color="auto"/>
                <w:left w:val="none" w:sz="0" w:space="0" w:color="auto"/>
                <w:bottom w:val="none" w:sz="0" w:space="0" w:color="auto"/>
                <w:right w:val="none" w:sz="0" w:space="0" w:color="auto"/>
              </w:divBdr>
            </w:div>
          </w:divsChild>
        </w:div>
        <w:div w:id="1274822215">
          <w:marLeft w:val="0"/>
          <w:marRight w:val="0"/>
          <w:marTop w:val="0"/>
          <w:marBottom w:val="0"/>
          <w:divBdr>
            <w:top w:val="none" w:sz="0" w:space="0" w:color="auto"/>
            <w:left w:val="none" w:sz="0" w:space="0" w:color="auto"/>
            <w:bottom w:val="none" w:sz="0" w:space="0" w:color="auto"/>
            <w:right w:val="none" w:sz="0" w:space="0" w:color="auto"/>
          </w:divBdr>
        </w:div>
        <w:div w:id="1372219746">
          <w:marLeft w:val="0"/>
          <w:marRight w:val="0"/>
          <w:marTop w:val="0"/>
          <w:marBottom w:val="0"/>
          <w:divBdr>
            <w:top w:val="none" w:sz="0" w:space="0" w:color="auto"/>
            <w:left w:val="none" w:sz="0" w:space="0" w:color="auto"/>
            <w:bottom w:val="none" w:sz="0" w:space="0" w:color="auto"/>
            <w:right w:val="none" w:sz="0" w:space="0" w:color="auto"/>
          </w:divBdr>
        </w:div>
        <w:div w:id="1041783696">
          <w:marLeft w:val="0"/>
          <w:marRight w:val="0"/>
          <w:marTop w:val="0"/>
          <w:marBottom w:val="0"/>
          <w:divBdr>
            <w:top w:val="none" w:sz="0" w:space="0" w:color="auto"/>
            <w:left w:val="none" w:sz="0" w:space="0" w:color="auto"/>
            <w:bottom w:val="none" w:sz="0" w:space="0" w:color="auto"/>
            <w:right w:val="none" w:sz="0" w:space="0" w:color="auto"/>
          </w:divBdr>
          <w:divsChild>
            <w:div w:id="1211461548">
              <w:marLeft w:val="225"/>
              <w:marRight w:val="0"/>
              <w:marTop w:val="225"/>
              <w:marBottom w:val="225"/>
              <w:divBdr>
                <w:top w:val="none" w:sz="0" w:space="0" w:color="auto"/>
                <w:left w:val="none" w:sz="0" w:space="0" w:color="auto"/>
                <w:bottom w:val="none" w:sz="0" w:space="0" w:color="auto"/>
                <w:right w:val="none" w:sz="0" w:space="0" w:color="auto"/>
              </w:divBdr>
              <w:divsChild>
                <w:div w:id="1559317705">
                  <w:marLeft w:val="0"/>
                  <w:marRight w:val="0"/>
                  <w:marTop w:val="0"/>
                  <w:marBottom w:val="0"/>
                  <w:divBdr>
                    <w:top w:val="single" w:sz="6" w:space="0" w:color="BCBCBC"/>
                    <w:left w:val="single" w:sz="6" w:space="0" w:color="BCBCBC"/>
                    <w:bottom w:val="single" w:sz="6" w:space="0" w:color="BCBCBC"/>
                    <w:right w:val="single" w:sz="6" w:space="0" w:color="BCBCBC"/>
                  </w:divBdr>
                  <w:divsChild>
                    <w:div w:id="271212069">
                      <w:marLeft w:val="0"/>
                      <w:marRight w:val="0"/>
                      <w:marTop w:val="0"/>
                      <w:marBottom w:val="0"/>
                      <w:divBdr>
                        <w:top w:val="none" w:sz="0" w:space="0" w:color="auto"/>
                        <w:left w:val="none" w:sz="0" w:space="0" w:color="auto"/>
                        <w:bottom w:val="none" w:sz="0" w:space="0" w:color="auto"/>
                        <w:right w:val="none" w:sz="0" w:space="0" w:color="auto"/>
                      </w:divBdr>
                      <w:divsChild>
                        <w:div w:id="1866092589">
                          <w:marLeft w:val="0"/>
                          <w:marRight w:val="0"/>
                          <w:marTop w:val="0"/>
                          <w:marBottom w:val="0"/>
                          <w:divBdr>
                            <w:top w:val="none" w:sz="0" w:space="0" w:color="auto"/>
                            <w:left w:val="none" w:sz="0" w:space="0" w:color="auto"/>
                            <w:bottom w:val="single" w:sz="6" w:space="0" w:color="BCBCBC"/>
                            <w:right w:val="none" w:sz="0" w:space="0" w:color="auto"/>
                          </w:divBdr>
                          <w:divsChild>
                            <w:div w:id="1377268550">
                              <w:marLeft w:val="225"/>
                              <w:marRight w:val="225"/>
                              <w:marTop w:val="225"/>
                              <w:marBottom w:val="225"/>
                              <w:divBdr>
                                <w:top w:val="none" w:sz="0" w:space="0" w:color="auto"/>
                                <w:left w:val="none" w:sz="0" w:space="0" w:color="auto"/>
                                <w:bottom w:val="none" w:sz="0" w:space="0" w:color="auto"/>
                                <w:right w:val="none" w:sz="0" w:space="0" w:color="auto"/>
                              </w:divBdr>
                              <w:divsChild>
                                <w:div w:id="18132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08456">
                          <w:marLeft w:val="0"/>
                          <w:marRight w:val="0"/>
                          <w:marTop w:val="0"/>
                          <w:marBottom w:val="0"/>
                          <w:divBdr>
                            <w:top w:val="none" w:sz="0" w:space="0" w:color="auto"/>
                            <w:left w:val="none" w:sz="0" w:space="0" w:color="auto"/>
                            <w:bottom w:val="none" w:sz="0" w:space="0" w:color="auto"/>
                            <w:right w:val="none" w:sz="0" w:space="0" w:color="auto"/>
                          </w:divBdr>
                          <w:divsChild>
                            <w:div w:id="15552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78489">
          <w:marLeft w:val="0"/>
          <w:marRight w:val="0"/>
          <w:marTop w:val="0"/>
          <w:marBottom w:val="0"/>
          <w:divBdr>
            <w:top w:val="none" w:sz="0" w:space="0" w:color="auto"/>
            <w:left w:val="none" w:sz="0" w:space="0" w:color="auto"/>
            <w:bottom w:val="none" w:sz="0" w:space="0" w:color="auto"/>
            <w:right w:val="none" w:sz="0" w:space="0" w:color="auto"/>
          </w:divBdr>
        </w:div>
        <w:div w:id="1140002766">
          <w:marLeft w:val="0"/>
          <w:marRight w:val="0"/>
          <w:marTop w:val="0"/>
          <w:marBottom w:val="0"/>
          <w:divBdr>
            <w:top w:val="none" w:sz="0" w:space="0" w:color="auto"/>
            <w:left w:val="none" w:sz="0" w:space="0" w:color="auto"/>
            <w:bottom w:val="none" w:sz="0" w:space="0" w:color="auto"/>
            <w:right w:val="none" w:sz="0" w:space="0" w:color="auto"/>
          </w:divBdr>
          <w:divsChild>
            <w:div w:id="620965119">
              <w:marLeft w:val="0"/>
              <w:marRight w:val="0"/>
              <w:marTop w:val="0"/>
              <w:marBottom w:val="0"/>
              <w:divBdr>
                <w:top w:val="none" w:sz="0" w:space="0" w:color="auto"/>
                <w:left w:val="none" w:sz="0" w:space="0" w:color="auto"/>
                <w:bottom w:val="none" w:sz="0" w:space="0" w:color="auto"/>
                <w:right w:val="none" w:sz="0" w:space="0" w:color="auto"/>
              </w:divBdr>
              <w:divsChild>
                <w:div w:id="13132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017">
          <w:marLeft w:val="0"/>
          <w:marRight w:val="0"/>
          <w:marTop w:val="0"/>
          <w:marBottom w:val="0"/>
          <w:divBdr>
            <w:top w:val="none" w:sz="0" w:space="0" w:color="auto"/>
            <w:left w:val="none" w:sz="0" w:space="0" w:color="auto"/>
            <w:bottom w:val="none" w:sz="0" w:space="0" w:color="auto"/>
            <w:right w:val="none" w:sz="0" w:space="0" w:color="auto"/>
          </w:divBdr>
          <w:divsChild>
            <w:div w:id="1555316910">
              <w:marLeft w:val="0"/>
              <w:marRight w:val="0"/>
              <w:marTop w:val="0"/>
              <w:marBottom w:val="0"/>
              <w:divBdr>
                <w:top w:val="none" w:sz="0" w:space="0" w:color="auto"/>
                <w:left w:val="none" w:sz="0" w:space="0" w:color="auto"/>
                <w:bottom w:val="none" w:sz="0" w:space="0" w:color="auto"/>
                <w:right w:val="none" w:sz="0" w:space="0" w:color="auto"/>
              </w:divBdr>
            </w:div>
            <w:div w:id="1622227491">
              <w:marLeft w:val="0"/>
              <w:marRight w:val="0"/>
              <w:marTop w:val="0"/>
              <w:marBottom w:val="0"/>
              <w:divBdr>
                <w:top w:val="none" w:sz="0" w:space="0" w:color="auto"/>
                <w:left w:val="none" w:sz="0" w:space="0" w:color="auto"/>
                <w:bottom w:val="none" w:sz="0" w:space="0" w:color="auto"/>
                <w:right w:val="none" w:sz="0" w:space="0" w:color="auto"/>
              </w:divBdr>
            </w:div>
            <w:div w:id="1834182472">
              <w:marLeft w:val="0"/>
              <w:marRight w:val="0"/>
              <w:marTop w:val="0"/>
              <w:marBottom w:val="0"/>
              <w:divBdr>
                <w:top w:val="none" w:sz="0" w:space="0" w:color="auto"/>
                <w:left w:val="none" w:sz="0" w:space="0" w:color="auto"/>
                <w:bottom w:val="none" w:sz="0" w:space="0" w:color="auto"/>
                <w:right w:val="none" w:sz="0" w:space="0" w:color="auto"/>
              </w:divBdr>
            </w:div>
            <w:div w:id="1698121835">
              <w:marLeft w:val="0"/>
              <w:marRight w:val="0"/>
              <w:marTop w:val="0"/>
              <w:marBottom w:val="0"/>
              <w:divBdr>
                <w:top w:val="none" w:sz="0" w:space="0" w:color="auto"/>
                <w:left w:val="none" w:sz="0" w:space="0" w:color="auto"/>
                <w:bottom w:val="none" w:sz="0" w:space="0" w:color="auto"/>
                <w:right w:val="none" w:sz="0" w:space="0" w:color="auto"/>
              </w:divBdr>
            </w:div>
            <w:div w:id="1050574096">
              <w:marLeft w:val="0"/>
              <w:marRight w:val="0"/>
              <w:marTop w:val="0"/>
              <w:marBottom w:val="0"/>
              <w:divBdr>
                <w:top w:val="none" w:sz="0" w:space="0" w:color="auto"/>
                <w:left w:val="none" w:sz="0" w:space="0" w:color="auto"/>
                <w:bottom w:val="none" w:sz="0" w:space="0" w:color="auto"/>
                <w:right w:val="none" w:sz="0" w:space="0" w:color="auto"/>
              </w:divBdr>
            </w:div>
            <w:div w:id="1940601729">
              <w:marLeft w:val="0"/>
              <w:marRight w:val="0"/>
              <w:marTop w:val="0"/>
              <w:marBottom w:val="0"/>
              <w:divBdr>
                <w:top w:val="none" w:sz="0" w:space="0" w:color="auto"/>
                <w:left w:val="none" w:sz="0" w:space="0" w:color="auto"/>
                <w:bottom w:val="none" w:sz="0" w:space="0" w:color="auto"/>
                <w:right w:val="none" w:sz="0" w:space="0" w:color="auto"/>
              </w:divBdr>
            </w:div>
            <w:div w:id="1293442051">
              <w:marLeft w:val="0"/>
              <w:marRight w:val="0"/>
              <w:marTop w:val="0"/>
              <w:marBottom w:val="0"/>
              <w:divBdr>
                <w:top w:val="none" w:sz="0" w:space="0" w:color="auto"/>
                <w:left w:val="none" w:sz="0" w:space="0" w:color="auto"/>
                <w:bottom w:val="none" w:sz="0" w:space="0" w:color="auto"/>
                <w:right w:val="none" w:sz="0" w:space="0" w:color="auto"/>
              </w:divBdr>
            </w:div>
          </w:divsChild>
        </w:div>
        <w:div w:id="1899710252">
          <w:marLeft w:val="0"/>
          <w:marRight w:val="0"/>
          <w:marTop w:val="0"/>
          <w:marBottom w:val="0"/>
          <w:divBdr>
            <w:top w:val="none" w:sz="0" w:space="0" w:color="auto"/>
            <w:left w:val="none" w:sz="0" w:space="0" w:color="auto"/>
            <w:bottom w:val="none" w:sz="0" w:space="0" w:color="auto"/>
            <w:right w:val="none" w:sz="0" w:space="0" w:color="auto"/>
          </w:divBdr>
          <w:divsChild>
            <w:div w:id="1040937411">
              <w:marLeft w:val="0"/>
              <w:marRight w:val="0"/>
              <w:marTop w:val="0"/>
              <w:marBottom w:val="0"/>
              <w:divBdr>
                <w:top w:val="none" w:sz="0" w:space="0" w:color="auto"/>
                <w:left w:val="none" w:sz="0" w:space="0" w:color="auto"/>
                <w:bottom w:val="none" w:sz="0" w:space="0" w:color="auto"/>
                <w:right w:val="none" w:sz="0" w:space="0" w:color="auto"/>
              </w:divBdr>
              <w:divsChild>
                <w:div w:id="12268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340">
          <w:marLeft w:val="0"/>
          <w:marRight w:val="0"/>
          <w:marTop w:val="0"/>
          <w:marBottom w:val="0"/>
          <w:divBdr>
            <w:top w:val="none" w:sz="0" w:space="0" w:color="auto"/>
            <w:left w:val="none" w:sz="0" w:space="0" w:color="auto"/>
            <w:bottom w:val="none" w:sz="0" w:space="0" w:color="auto"/>
            <w:right w:val="none" w:sz="0" w:space="0" w:color="auto"/>
          </w:divBdr>
          <w:divsChild>
            <w:div w:id="2065642373">
              <w:marLeft w:val="0"/>
              <w:marRight w:val="0"/>
              <w:marTop w:val="0"/>
              <w:marBottom w:val="0"/>
              <w:divBdr>
                <w:top w:val="none" w:sz="0" w:space="0" w:color="auto"/>
                <w:left w:val="none" w:sz="0" w:space="0" w:color="auto"/>
                <w:bottom w:val="none" w:sz="0" w:space="0" w:color="auto"/>
                <w:right w:val="none" w:sz="0" w:space="0" w:color="auto"/>
              </w:divBdr>
            </w:div>
            <w:div w:id="362556417">
              <w:marLeft w:val="0"/>
              <w:marRight w:val="0"/>
              <w:marTop w:val="0"/>
              <w:marBottom w:val="0"/>
              <w:divBdr>
                <w:top w:val="none" w:sz="0" w:space="0" w:color="auto"/>
                <w:left w:val="none" w:sz="0" w:space="0" w:color="auto"/>
                <w:bottom w:val="none" w:sz="0" w:space="0" w:color="auto"/>
                <w:right w:val="none" w:sz="0" w:space="0" w:color="auto"/>
              </w:divBdr>
            </w:div>
            <w:div w:id="1120152086">
              <w:marLeft w:val="0"/>
              <w:marRight w:val="0"/>
              <w:marTop w:val="0"/>
              <w:marBottom w:val="0"/>
              <w:divBdr>
                <w:top w:val="none" w:sz="0" w:space="0" w:color="auto"/>
                <w:left w:val="none" w:sz="0" w:space="0" w:color="auto"/>
                <w:bottom w:val="none" w:sz="0" w:space="0" w:color="auto"/>
                <w:right w:val="none" w:sz="0" w:space="0" w:color="auto"/>
              </w:divBdr>
            </w:div>
            <w:div w:id="577445457">
              <w:marLeft w:val="0"/>
              <w:marRight w:val="0"/>
              <w:marTop w:val="0"/>
              <w:marBottom w:val="0"/>
              <w:divBdr>
                <w:top w:val="none" w:sz="0" w:space="0" w:color="auto"/>
                <w:left w:val="none" w:sz="0" w:space="0" w:color="auto"/>
                <w:bottom w:val="none" w:sz="0" w:space="0" w:color="auto"/>
                <w:right w:val="none" w:sz="0" w:space="0" w:color="auto"/>
              </w:divBdr>
            </w:div>
            <w:div w:id="655884749">
              <w:marLeft w:val="0"/>
              <w:marRight w:val="0"/>
              <w:marTop w:val="0"/>
              <w:marBottom w:val="0"/>
              <w:divBdr>
                <w:top w:val="none" w:sz="0" w:space="0" w:color="auto"/>
                <w:left w:val="none" w:sz="0" w:space="0" w:color="auto"/>
                <w:bottom w:val="none" w:sz="0" w:space="0" w:color="auto"/>
                <w:right w:val="none" w:sz="0" w:space="0" w:color="auto"/>
              </w:divBdr>
              <w:divsChild>
                <w:div w:id="1374575413">
                  <w:marLeft w:val="225"/>
                  <w:marRight w:val="0"/>
                  <w:marTop w:val="225"/>
                  <w:marBottom w:val="225"/>
                  <w:divBdr>
                    <w:top w:val="none" w:sz="0" w:space="0" w:color="auto"/>
                    <w:left w:val="none" w:sz="0" w:space="0" w:color="auto"/>
                    <w:bottom w:val="none" w:sz="0" w:space="0" w:color="auto"/>
                    <w:right w:val="none" w:sz="0" w:space="0" w:color="auto"/>
                  </w:divBdr>
                  <w:divsChild>
                    <w:div w:id="1001540569">
                      <w:marLeft w:val="0"/>
                      <w:marRight w:val="0"/>
                      <w:marTop w:val="0"/>
                      <w:marBottom w:val="0"/>
                      <w:divBdr>
                        <w:top w:val="single" w:sz="6" w:space="0" w:color="BCBCBC"/>
                        <w:left w:val="single" w:sz="6" w:space="0" w:color="BCBCBC"/>
                        <w:bottom w:val="single" w:sz="6" w:space="0" w:color="BCBCBC"/>
                        <w:right w:val="single" w:sz="6" w:space="0" w:color="BCBCBC"/>
                      </w:divBdr>
                      <w:divsChild>
                        <w:div w:id="603808453">
                          <w:marLeft w:val="0"/>
                          <w:marRight w:val="0"/>
                          <w:marTop w:val="0"/>
                          <w:marBottom w:val="0"/>
                          <w:divBdr>
                            <w:top w:val="none" w:sz="0" w:space="0" w:color="auto"/>
                            <w:left w:val="none" w:sz="0" w:space="0" w:color="auto"/>
                            <w:bottom w:val="none" w:sz="0" w:space="0" w:color="auto"/>
                            <w:right w:val="none" w:sz="0" w:space="0" w:color="auto"/>
                          </w:divBdr>
                          <w:divsChild>
                            <w:div w:id="1900238139">
                              <w:marLeft w:val="0"/>
                              <w:marRight w:val="0"/>
                              <w:marTop w:val="0"/>
                              <w:marBottom w:val="0"/>
                              <w:divBdr>
                                <w:top w:val="none" w:sz="0" w:space="0" w:color="auto"/>
                                <w:left w:val="none" w:sz="0" w:space="0" w:color="auto"/>
                                <w:bottom w:val="single" w:sz="6" w:space="0" w:color="BCBCBC"/>
                                <w:right w:val="none" w:sz="0" w:space="0" w:color="auto"/>
                              </w:divBdr>
                              <w:divsChild>
                                <w:div w:id="333728753">
                                  <w:marLeft w:val="225"/>
                                  <w:marRight w:val="225"/>
                                  <w:marTop w:val="225"/>
                                  <w:marBottom w:val="225"/>
                                  <w:divBdr>
                                    <w:top w:val="none" w:sz="0" w:space="0" w:color="auto"/>
                                    <w:left w:val="none" w:sz="0" w:space="0" w:color="auto"/>
                                    <w:bottom w:val="none" w:sz="0" w:space="0" w:color="auto"/>
                                    <w:right w:val="none" w:sz="0" w:space="0" w:color="auto"/>
                                  </w:divBdr>
                                  <w:divsChild>
                                    <w:div w:id="2538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581">
                              <w:marLeft w:val="0"/>
                              <w:marRight w:val="0"/>
                              <w:marTop w:val="0"/>
                              <w:marBottom w:val="0"/>
                              <w:divBdr>
                                <w:top w:val="none" w:sz="0" w:space="0" w:color="auto"/>
                                <w:left w:val="none" w:sz="0" w:space="0" w:color="auto"/>
                                <w:bottom w:val="none" w:sz="0" w:space="0" w:color="auto"/>
                                <w:right w:val="none" w:sz="0" w:space="0" w:color="auto"/>
                              </w:divBdr>
                              <w:divsChild>
                                <w:div w:id="1777556774">
                                  <w:marLeft w:val="0"/>
                                  <w:marRight w:val="0"/>
                                  <w:marTop w:val="0"/>
                                  <w:marBottom w:val="0"/>
                                  <w:divBdr>
                                    <w:top w:val="none" w:sz="0" w:space="0" w:color="auto"/>
                                    <w:left w:val="none" w:sz="0" w:space="0" w:color="auto"/>
                                    <w:bottom w:val="none" w:sz="0" w:space="0" w:color="auto"/>
                                    <w:right w:val="none" w:sz="0" w:space="0" w:color="auto"/>
                                  </w:divBdr>
                                </w:div>
                                <w:div w:id="44862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06085">
              <w:marLeft w:val="0"/>
              <w:marRight w:val="0"/>
              <w:marTop w:val="0"/>
              <w:marBottom w:val="0"/>
              <w:divBdr>
                <w:top w:val="none" w:sz="0" w:space="0" w:color="auto"/>
                <w:left w:val="none" w:sz="0" w:space="0" w:color="auto"/>
                <w:bottom w:val="none" w:sz="0" w:space="0" w:color="auto"/>
                <w:right w:val="none" w:sz="0" w:space="0" w:color="auto"/>
              </w:divBdr>
            </w:div>
          </w:divsChild>
        </w:div>
        <w:div w:id="1435370006">
          <w:marLeft w:val="0"/>
          <w:marRight w:val="0"/>
          <w:marTop w:val="0"/>
          <w:marBottom w:val="0"/>
          <w:divBdr>
            <w:top w:val="none" w:sz="0" w:space="0" w:color="auto"/>
            <w:left w:val="none" w:sz="0" w:space="0" w:color="auto"/>
            <w:bottom w:val="none" w:sz="0" w:space="0" w:color="auto"/>
            <w:right w:val="none" w:sz="0" w:space="0" w:color="auto"/>
          </w:divBdr>
          <w:divsChild>
            <w:div w:id="997801534">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 w:id="223879598">
                  <w:marLeft w:val="0"/>
                  <w:marRight w:val="0"/>
                  <w:marTop w:val="0"/>
                  <w:marBottom w:val="0"/>
                  <w:divBdr>
                    <w:top w:val="none" w:sz="0" w:space="0" w:color="auto"/>
                    <w:left w:val="none" w:sz="0" w:space="0" w:color="auto"/>
                    <w:bottom w:val="none" w:sz="0" w:space="0" w:color="auto"/>
                    <w:right w:val="none" w:sz="0" w:space="0" w:color="auto"/>
                  </w:divBdr>
                </w:div>
                <w:div w:id="641425753">
                  <w:marLeft w:val="0"/>
                  <w:marRight w:val="0"/>
                  <w:marTop w:val="0"/>
                  <w:marBottom w:val="0"/>
                  <w:divBdr>
                    <w:top w:val="none" w:sz="0" w:space="0" w:color="auto"/>
                    <w:left w:val="none" w:sz="0" w:space="0" w:color="auto"/>
                    <w:bottom w:val="none" w:sz="0" w:space="0" w:color="auto"/>
                    <w:right w:val="none" w:sz="0" w:space="0" w:color="auto"/>
                  </w:divBdr>
                </w:div>
              </w:divsChild>
            </w:div>
            <w:div w:id="1712874701">
              <w:marLeft w:val="0"/>
              <w:marRight w:val="0"/>
              <w:marTop w:val="0"/>
              <w:marBottom w:val="0"/>
              <w:divBdr>
                <w:top w:val="none" w:sz="0" w:space="0" w:color="auto"/>
                <w:left w:val="none" w:sz="0" w:space="0" w:color="auto"/>
                <w:bottom w:val="none" w:sz="0" w:space="0" w:color="auto"/>
                <w:right w:val="none" w:sz="0" w:space="0" w:color="auto"/>
              </w:divBdr>
            </w:div>
            <w:div w:id="813109155">
              <w:marLeft w:val="0"/>
              <w:marRight w:val="0"/>
              <w:marTop w:val="0"/>
              <w:marBottom w:val="0"/>
              <w:divBdr>
                <w:top w:val="none" w:sz="0" w:space="0" w:color="auto"/>
                <w:left w:val="none" w:sz="0" w:space="0" w:color="auto"/>
                <w:bottom w:val="none" w:sz="0" w:space="0" w:color="auto"/>
                <w:right w:val="none" w:sz="0" w:space="0" w:color="auto"/>
              </w:divBdr>
            </w:div>
            <w:div w:id="1024984862">
              <w:marLeft w:val="0"/>
              <w:marRight w:val="0"/>
              <w:marTop w:val="0"/>
              <w:marBottom w:val="0"/>
              <w:divBdr>
                <w:top w:val="none" w:sz="0" w:space="0" w:color="auto"/>
                <w:left w:val="none" w:sz="0" w:space="0" w:color="auto"/>
                <w:bottom w:val="none" w:sz="0" w:space="0" w:color="auto"/>
                <w:right w:val="none" w:sz="0" w:space="0" w:color="auto"/>
              </w:divBdr>
              <w:divsChild>
                <w:div w:id="278146549">
                  <w:marLeft w:val="0"/>
                  <w:marRight w:val="0"/>
                  <w:marTop w:val="0"/>
                  <w:marBottom w:val="0"/>
                  <w:divBdr>
                    <w:top w:val="none" w:sz="0" w:space="0" w:color="auto"/>
                    <w:left w:val="none" w:sz="0" w:space="0" w:color="auto"/>
                    <w:bottom w:val="none" w:sz="0" w:space="0" w:color="auto"/>
                    <w:right w:val="none" w:sz="0" w:space="0" w:color="auto"/>
                  </w:divBdr>
                </w:div>
                <w:div w:id="764612630">
                  <w:marLeft w:val="0"/>
                  <w:marRight w:val="0"/>
                  <w:marTop w:val="0"/>
                  <w:marBottom w:val="0"/>
                  <w:divBdr>
                    <w:top w:val="none" w:sz="0" w:space="0" w:color="auto"/>
                    <w:left w:val="none" w:sz="0" w:space="0" w:color="auto"/>
                    <w:bottom w:val="none" w:sz="0" w:space="0" w:color="auto"/>
                    <w:right w:val="none" w:sz="0" w:space="0" w:color="auto"/>
                  </w:divBdr>
                </w:div>
                <w:div w:id="709568483">
                  <w:marLeft w:val="0"/>
                  <w:marRight w:val="0"/>
                  <w:marTop w:val="0"/>
                  <w:marBottom w:val="0"/>
                  <w:divBdr>
                    <w:top w:val="none" w:sz="0" w:space="0" w:color="auto"/>
                    <w:left w:val="none" w:sz="0" w:space="0" w:color="auto"/>
                    <w:bottom w:val="none" w:sz="0" w:space="0" w:color="auto"/>
                    <w:right w:val="none" w:sz="0" w:space="0" w:color="auto"/>
                  </w:divBdr>
                </w:div>
              </w:divsChild>
            </w:div>
            <w:div w:id="605425322">
              <w:marLeft w:val="0"/>
              <w:marRight w:val="0"/>
              <w:marTop w:val="0"/>
              <w:marBottom w:val="0"/>
              <w:divBdr>
                <w:top w:val="none" w:sz="0" w:space="0" w:color="auto"/>
                <w:left w:val="none" w:sz="0" w:space="0" w:color="auto"/>
                <w:bottom w:val="none" w:sz="0" w:space="0" w:color="auto"/>
                <w:right w:val="none" w:sz="0" w:space="0" w:color="auto"/>
              </w:divBdr>
            </w:div>
            <w:div w:id="509102326">
              <w:marLeft w:val="0"/>
              <w:marRight w:val="0"/>
              <w:marTop w:val="0"/>
              <w:marBottom w:val="0"/>
              <w:divBdr>
                <w:top w:val="none" w:sz="0" w:space="0" w:color="auto"/>
                <w:left w:val="none" w:sz="0" w:space="0" w:color="auto"/>
                <w:bottom w:val="none" w:sz="0" w:space="0" w:color="auto"/>
                <w:right w:val="none" w:sz="0" w:space="0" w:color="auto"/>
              </w:divBdr>
            </w:div>
            <w:div w:id="824902710">
              <w:marLeft w:val="0"/>
              <w:marRight w:val="0"/>
              <w:marTop w:val="0"/>
              <w:marBottom w:val="0"/>
              <w:divBdr>
                <w:top w:val="none" w:sz="0" w:space="0" w:color="auto"/>
                <w:left w:val="none" w:sz="0" w:space="0" w:color="auto"/>
                <w:bottom w:val="none" w:sz="0" w:space="0" w:color="auto"/>
                <w:right w:val="none" w:sz="0" w:space="0" w:color="auto"/>
              </w:divBdr>
            </w:div>
            <w:div w:id="859315463">
              <w:marLeft w:val="0"/>
              <w:marRight w:val="0"/>
              <w:marTop w:val="0"/>
              <w:marBottom w:val="0"/>
              <w:divBdr>
                <w:top w:val="none" w:sz="0" w:space="0" w:color="auto"/>
                <w:left w:val="none" w:sz="0" w:space="0" w:color="auto"/>
                <w:bottom w:val="none" w:sz="0" w:space="0" w:color="auto"/>
                <w:right w:val="none" w:sz="0" w:space="0" w:color="auto"/>
              </w:divBdr>
              <w:divsChild>
                <w:div w:id="150952673">
                  <w:marLeft w:val="0"/>
                  <w:marRight w:val="0"/>
                  <w:marTop w:val="0"/>
                  <w:marBottom w:val="0"/>
                  <w:divBdr>
                    <w:top w:val="none" w:sz="0" w:space="0" w:color="auto"/>
                    <w:left w:val="none" w:sz="0" w:space="0" w:color="auto"/>
                    <w:bottom w:val="none" w:sz="0" w:space="0" w:color="auto"/>
                    <w:right w:val="none" w:sz="0" w:space="0" w:color="auto"/>
                  </w:divBdr>
                </w:div>
                <w:div w:id="354312242">
                  <w:marLeft w:val="0"/>
                  <w:marRight w:val="0"/>
                  <w:marTop w:val="0"/>
                  <w:marBottom w:val="0"/>
                  <w:divBdr>
                    <w:top w:val="none" w:sz="0" w:space="0" w:color="auto"/>
                    <w:left w:val="none" w:sz="0" w:space="0" w:color="auto"/>
                    <w:bottom w:val="none" w:sz="0" w:space="0" w:color="auto"/>
                    <w:right w:val="none" w:sz="0" w:space="0" w:color="auto"/>
                  </w:divBdr>
                </w:div>
                <w:div w:id="64226873">
                  <w:marLeft w:val="0"/>
                  <w:marRight w:val="0"/>
                  <w:marTop w:val="0"/>
                  <w:marBottom w:val="0"/>
                  <w:divBdr>
                    <w:top w:val="none" w:sz="0" w:space="0" w:color="auto"/>
                    <w:left w:val="none" w:sz="0" w:space="0" w:color="auto"/>
                    <w:bottom w:val="none" w:sz="0" w:space="0" w:color="auto"/>
                    <w:right w:val="none" w:sz="0" w:space="0" w:color="auto"/>
                  </w:divBdr>
                </w:div>
              </w:divsChild>
            </w:div>
            <w:div w:id="580722823">
              <w:marLeft w:val="0"/>
              <w:marRight w:val="0"/>
              <w:marTop w:val="0"/>
              <w:marBottom w:val="0"/>
              <w:divBdr>
                <w:top w:val="none" w:sz="0" w:space="0" w:color="auto"/>
                <w:left w:val="none" w:sz="0" w:space="0" w:color="auto"/>
                <w:bottom w:val="none" w:sz="0" w:space="0" w:color="auto"/>
                <w:right w:val="none" w:sz="0" w:space="0" w:color="auto"/>
              </w:divBdr>
            </w:div>
            <w:div w:id="1698431215">
              <w:marLeft w:val="0"/>
              <w:marRight w:val="0"/>
              <w:marTop w:val="0"/>
              <w:marBottom w:val="0"/>
              <w:divBdr>
                <w:top w:val="none" w:sz="0" w:space="0" w:color="auto"/>
                <w:left w:val="none" w:sz="0" w:space="0" w:color="auto"/>
                <w:bottom w:val="none" w:sz="0" w:space="0" w:color="auto"/>
                <w:right w:val="none" w:sz="0" w:space="0" w:color="auto"/>
              </w:divBdr>
            </w:div>
            <w:div w:id="1605646242">
              <w:marLeft w:val="225"/>
              <w:marRight w:val="0"/>
              <w:marTop w:val="225"/>
              <w:marBottom w:val="225"/>
              <w:divBdr>
                <w:top w:val="none" w:sz="0" w:space="0" w:color="auto"/>
                <w:left w:val="none" w:sz="0" w:space="0" w:color="auto"/>
                <w:bottom w:val="none" w:sz="0" w:space="0" w:color="auto"/>
                <w:right w:val="none" w:sz="0" w:space="0" w:color="auto"/>
              </w:divBdr>
              <w:divsChild>
                <w:div w:id="305624331">
                  <w:marLeft w:val="0"/>
                  <w:marRight w:val="0"/>
                  <w:marTop w:val="0"/>
                  <w:marBottom w:val="0"/>
                  <w:divBdr>
                    <w:top w:val="single" w:sz="6" w:space="9" w:color="174F6D"/>
                    <w:left w:val="single" w:sz="6" w:space="9" w:color="174F6D"/>
                    <w:bottom w:val="single" w:sz="6" w:space="9" w:color="174F6D"/>
                    <w:right w:val="single" w:sz="6" w:space="9" w:color="174F6D"/>
                  </w:divBdr>
                  <w:divsChild>
                    <w:div w:id="2136942355">
                      <w:marLeft w:val="0"/>
                      <w:marRight w:val="0"/>
                      <w:marTop w:val="0"/>
                      <w:marBottom w:val="0"/>
                      <w:divBdr>
                        <w:top w:val="none" w:sz="0" w:space="0" w:color="auto"/>
                        <w:left w:val="none" w:sz="0" w:space="0" w:color="auto"/>
                        <w:bottom w:val="none" w:sz="0" w:space="0" w:color="auto"/>
                        <w:right w:val="none" w:sz="0" w:space="0" w:color="auto"/>
                      </w:divBdr>
                      <w:divsChild>
                        <w:div w:id="539900508">
                          <w:marLeft w:val="0"/>
                          <w:marRight w:val="0"/>
                          <w:marTop w:val="0"/>
                          <w:marBottom w:val="0"/>
                          <w:divBdr>
                            <w:top w:val="none" w:sz="0" w:space="0" w:color="auto"/>
                            <w:left w:val="none" w:sz="0" w:space="0" w:color="auto"/>
                            <w:bottom w:val="none" w:sz="0" w:space="0" w:color="auto"/>
                            <w:right w:val="none" w:sz="0" w:space="0" w:color="auto"/>
                          </w:divBdr>
                          <w:divsChild>
                            <w:div w:id="609708357">
                              <w:marLeft w:val="0"/>
                              <w:marRight w:val="0"/>
                              <w:marTop w:val="0"/>
                              <w:marBottom w:val="0"/>
                              <w:divBdr>
                                <w:top w:val="none" w:sz="0" w:space="0" w:color="auto"/>
                                <w:left w:val="none" w:sz="0" w:space="0" w:color="auto"/>
                                <w:bottom w:val="none" w:sz="0" w:space="0" w:color="auto"/>
                                <w:right w:val="none" w:sz="0" w:space="0" w:color="auto"/>
                              </w:divBdr>
                              <w:divsChild>
                                <w:div w:id="433944969">
                                  <w:marLeft w:val="0"/>
                                  <w:marRight w:val="0"/>
                                  <w:marTop w:val="0"/>
                                  <w:marBottom w:val="0"/>
                                  <w:divBdr>
                                    <w:top w:val="none" w:sz="0" w:space="0" w:color="auto"/>
                                    <w:left w:val="none" w:sz="0" w:space="0" w:color="auto"/>
                                    <w:bottom w:val="none" w:sz="0" w:space="0" w:color="auto"/>
                                    <w:right w:val="none" w:sz="0" w:space="0" w:color="auto"/>
                                  </w:divBdr>
                                  <w:divsChild>
                                    <w:div w:id="173427137">
                                      <w:marLeft w:val="0"/>
                                      <w:marRight w:val="0"/>
                                      <w:marTop w:val="0"/>
                                      <w:marBottom w:val="0"/>
                                      <w:divBdr>
                                        <w:top w:val="none" w:sz="0" w:space="0" w:color="auto"/>
                                        <w:left w:val="none" w:sz="0" w:space="0" w:color="auto"/>
                                        <w:bottom w:val="none" w:sz="0" w:space="0" w:color="auto"/>
                                        <w:right w:val="none" w:sz="0" w:space="0" w:color="auto"/>
                                      </w:divBdr>
                                      <w:divsChild>
                                        <w:div w:id="635332027">
                                          <w:marLeft w:val="0"/>
                                          <w:marRight w:val="0"/>
                                          <w:marTop w:val="0"/>
                                          <w:marBottom w:val="0"/>
                                          <w:divBdr>
                                            <w:top w:val="none" w:sz="0" w:space="0" w:color="auto"/>
                                            <w:left w:val="none" w:sz="0" w:space="0" w:color="auto"/>
                                            <w:bottom w:val="none" w:sz="0" w:space="0" w:color="auto"/>
                                            <w:right w:val="none" w:sz="0" w:space="0" w:color="auto"/>
                                          </w:divBdr>
                                        </w:div>
                                        <w:div w:id="16105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160095">
              <w:marLeft w:val="0"/>
              <w:marRight w:val="0"/>
              <w:marTop w:val="0"/>
              <w:marBottom w:val="0"/>
              <w:divBdr>
                <w:top w:val="none" w:sz="0" w:space="0" w:color="auto"/>
                <w:left w:val="none" w:sz="0" w:space="0" w:color="auto"/>
                <w:bottom w:val="none" w:sz="0" w:space="0" w:color="auto"/>
                <w:right w:val="none" w:sz="0" w:space="0" w:color="auto"/>
              </w:divBdr>
              <w:divsChild>
                <w:div w:id="1338771323">
                  <w:marLeft w:val="0"/>
                  <w:marRight w:val="0"/>
                  <w:marTop w:val="0"/>
                  <w:marBottom w:val="0"/>
                  <w:divBdr>
                    <w:top w:val="none" w:sz="0" w:space="0" w:color="auto"/>
                    <w:left w:val="none" w:sz="0" w:space="0" w:color="auto"/>
                    <w:bottom w:val="none" w:sz="0" w:space="0" w:color="auto"/>
                    <w:right w:val="none" w:sz="0" w:space="0" w:color="auto"/>
                  </w:divBdr>
                </w:div>
                <w:div w:id="928735522">
                  <w:marLeft w:val="0"/>
                  <w:marRight w:val="0"/>
                  <w:marTop w:val="0"/>
                  <w:marBottom w:val="0"/>
                  <w:divBdr>
                    <w:top w:val="none" w:sz="0" w:space="0" w:color="auto"/>
                    <w:left w:val="none" w:sz="0" w:space="0" w:color="auto"/>
                    <w:bottom w:val="none" w:sz="0" w:space="0" w:color="auto"/>
                    <w:right w:val="none" w:sz="0" w:space="0" w:color="auto"/>
                  </w:divBdr>
                  <w:divsChild>
                    <w:div w:id="269893003">
                      <w:marLeft w:val="0"/>
                      <w:marRight w:val="0"/>
                      <w:marTop w:val="0"/>
                      <w:marBottom w:val="0"/>
                      <w:divBdr>
                        <w:top w:val="none" w:sz="0" w:space="0" w:color="auto"/>
                        <w:left w:val="none" w:sz="0" w:space="0" w:color="auto"/>
                        <w:bottom w:val="none" w:sz="0" w:space="0" w:color="auto"/>
                        <w:right w:val="none" w:sz="0" w:space="0" w:color="auto"/>
                      </w:divBdr>
                    </w:div>
                    <w:div w:id="543953476">
                      <w:marLeft w:val="0"/>
                      <w:marRight w:val="0"/>
                      <w:marTop w:val="0"/>
                      <w:marBottom w:val="0"/>
                      <w:divBdr>
                        <w:top w:val="none" w:sz="0" w:space="0" w:color="auto"/>
                        <w:left w:val="none" w:sz="0" w:space="0" w:color="auto"/>
                        <w:bottom w:val="none" w:sz="0" w:space="0" w:color="auto"/>
                        <w:right w:val="none" w:sz="0" w:space="0" w:color="auto"/>
                      </w:divBdr>
                    </w:div>
                  </w:divsChild>
                </w:div>
                <w:div w:id="2051605439">
                  <w:marLeft w:val="0"/>
                  <w:marRight w:val="0"/>
                  <w:marTop w:val="0"/>
                  <w:marBottom w:val="0"/>
                  <w:divBdr>
                    <w:top w:val="none" w:sz="0" w:space="0" w:color="auto"/>
                    <w:left w:val="none" w:sz="0" w:space="0" w:color="auto"/>
                    <w:bottom w:val="none" w:sz="0" w:space="0" w:color="auto"/>
                    <w:right w:val="none" w:sz="0" w:space="0" w:color="auto"/>
                  </w:divBdr>
                </w:div>
                <w:div w:id="1126316435">
                  <w:marLeft w:val="0"/>
                  <w:marRight w:val="0"/>
                  <w:marTop w:val="0"/>
                  <w:marBottom w:val="0"/>
                  <w:divBdr>
                    <w:top w:val="none" w:sz="0" w:space="0" w:color="auto"/>
                    <w:left w:val="none" w:sz="0" w:space="0" w:color="auto"/>
                    <w:bottom w:val="none" w:sz="0" w:space="0" w:color="auto"/>
                    <w:right w:val="none" w:sz="0" w:space="0" w:color="auto"/>
                  </w:divBdr>
                </w:div>
              </w:divsChild>
            </w:div>
            <w:div w:id="45833291">
              <w:marLeft w:val="0"/>
              <w:marRight w:val="0"/>
              <w:marTop w:val="0"/>
              <w:marBottom w:val="0"/>
              <w:divBdr>
                <w:top w:val="none" w:sz="0" w:space="0" w:color="auto"/>
                <w:left w:val="none" w:sz="0" w:space="0" w:color="auto"/>
                <w:bottom w:val="none" w:sz="0" w:space="0" w:color="auto"/>
                <w:right w:val="none" w:sz="0" w:space="0" w:color="auto"/>
              </w:divBdr>
              <w:divsChild>
                <w:div w:id="50351867">
                  <w:marLeft w:val="0"/>
                  <w:marRight w:val="0"/>
                  <w:marTop w:val="0"/>
                  <w:marBottom w:val="0"/>
                  <w:divBdr>
                    <w:top w:val="none" w:sz="0" w:space="0" w:color="auto"/>
                    <w:left w:val="none" w:sz="0" w:space="0" w:color="auto"/>
                    <w:bottom w:val="none" w:sz="0" w:space="0" w:color="auto"/>
                    <w:right w:val="none" w:sz="0" w:space="0" w:color="auto"/>
                  </w:divBdr>
                  <w:divsChild>
                    <w:div w:id="3339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465">
          <w:marLeft w:val="0"/>
          <w:marRight w:val="0"/>
          <w:marTop w:val="0"/>
          <w:marBottom w:val="0"/>
          <w:divBdr>
            <w:top w:val="none" w:sz="0" w:space="0" w:color="auto"/>
            <w:left w:val="none" w:sz="0" w:space="0" w:color="auto"/>
            <w:bottom w:val="none" w:sz="0" w:space="0" w:color="auto"/>
            <w:right w:val="none" w:sz="0" w:space="0" w:color="auto"/>
          </w:divBdr>
          <w:divsChild>
            <w:div w:id="1072120579">
              <w:marLeft w:val="0"/>
              <w:marRight w:val="0"/>
              <w:marTop w:val="0"/>
              <w:marBottom w:val="0"/>
              <w:divBdr>
                <w:top w:val="none" w:sz="0" w:space="0" w:color="auto"/>
                <w:left w:val="none" w:sz="0" w:space="0" w:color="auto"/>
                <w:bottom w:val="none" w:sz="0" w:space="0" w:color="auto"/>
                <w:right w:val="none" w:sz="0" w:space="0" w:color="auto"/>
              </w:divBdr>
              <w:divsChild>
                <w:div w:id="1949121975">
                  <w:marLeft w:val="0"/>
                  <w:marRight w:val="0"/>
                  <w:marTop w:val="0"/>
                  <w:marBottom w:val="0"/>
                  <w:divBdr>
                    <w:top w:val="none" w:sz="0" w:space="0" w:color="auto"/>
                    <w:left w:val="none" w:sz="0" w:space="0" w:color="auto"/>
                    <w:bottom w:val="none" w:sz="0" w:space="0" w:color="auto"/>
                    <w:right w:val="none" w:sz="0" w:space="0" w:color="auto"/>
                  </w:divBdr>
                </w:div>
                <w:div w:id="575672815">
                  <w:marLeft w:val="0"/>
                  <w:marRight w:val="0"/>
                  <w:marTop w:val="0"/>
                  <w:marBottom w:val="0"/>
                  <w:divBdr>
                    <w:top w:val="none" w:sz="0" w:space="0" w:color="auto"/>
                    <w:left w:val="none" w:sz="0" w:space="0" w:color="auto"/>
                    <w:bottom w:val="none" w:sz="0" w:space="0" w:color="auto"/>
                    <w:right w:val="none" w:sz="0" w:space="0" w:color="auto"/>
                  </w:divBdr>
                </w:div>
                <w:div w:id="452210288">
                  <w:marLeft w:val="0"/>
                  <w:marRight w:val="0"/>
                  <w:marTop w:val="0"/>
                  <w:marBottom w:val="0"/>
                  <w:divBdr>
                    <w:top w:val="none" w:sz="0" w:space="0" w:color="auto"/>
                    <w:left w:val="none" w:sz="0" w:space="0" w:color="auto"/>
                    <w:bottom w:val="none" w:sz="0" w:space="0" w:color="auto"/>
                    <w:right w:val="none" w:sz="0" w:space="0" w:color="auto"/>
                  </w:divBdr>
                </w:div>
                <w:div w:id="193659662">
                  <w:marLeft w:val="0"/>
                  <w:marRight w:val="0"/>
                  <w:marTop w:val="0"/>
                  <w:marBottom w:val="0"/>
                  <w:divBdr>
                    <w:top w:val="none" w:sz="0" w:space="0" w:color="auto"/>
                    <w:left w:val="none" w:sz="0" w:space="0" w:color="auto"/>
                    <w:bottom w:val="none" w:sz="0" w:space="0" w:color="auto"/>
                    <w:right w:val="none" w:sz="0" w:space="0" w:color="auto"/>
                  </w:divBdr>
                </w:div>
              </w:divsChild>
            </w:div>
            <w:div w:id="1902011087">
              <w:marLeft w:val="0"/>
              <w:marRight w:val="0"/>
              <w:marTop w:val="0"/>
              <w:marBottom w:val="0"/>
              <w:divBdr>
                <w:top w:val="none" w:sz="0" w:space="0" w:color="auto"/>
                <w:left w:val="none" w:sz="0" w:space="0" w:color="auto"/>
                <w:bottom w:val="none" w:sz="0" w:space="0" w:color="auto"/>
                <w:right w:val="none" w:sz="0" w:space="0" w:color="auto"/>
              </w:divBdr>
            </w:div>
            <w:div w:id="288096662">
              <w:marLeft w:val="0"/>
              <w:marRight w:val="0"/>
              <w:marTop w:val="0"/>
              <w:marBottom w:val="0"/>
              <w:divBdr>
                <w:top w:val="none" w:sz="0" w:space="0" w:color="auto"/>
                <w:left w:val="none" w:sz="0" w:space="0" w:color="auto"/>
                <w:bottom w:val="none" w:sz="0" w:space="0" w:color="auto"/>
                <w:right w:val="none" w:sz="0" w:space="0" w:color="auto"/>
              </w:divBdr>
              <w:divsChild>
                <w:div w:id="1710254863">
                  <w:marLeft w:val="0"/>
                  <w:marRight w:val="0"/>
                  <w:marTop w:val="0"/>
                  <w:marBottom w:val="0"/>
                  <w:divBdr>
                    <w:top w:val="none" w:sz="0" w:space="0" w:color="auto"/>
                    <w:left w:val="none" w:sz="0" w:space="0" w:color="auto"/>
                    <w:bottom w:val="none" w:sz="0" w:space="0" w:color="auto"/>
                    <w:right w:val="none" w:sz="0" w:space="0" w:color="auto"/>
                  </w:divBdr>
                </w:div>
                <w:div w:id="947657419">
                  <w:marLeft w:val="0"/>
                  <w:marRight w:val="0"/>
                  <w:marTop w:val="0"/>
                  <w:marBottom w:val="0"/>
                  <w:divBdr>
                    <w:top w:val="none" w:sz="0" w:space="0" w:color="auto"/>
                    <w:left w:val="none" w:sz="0" w:space="0" w:color="auto"/>
                    <w:bottom w:val="none" w:sz="0" w:space="0" w:color="auto"/>
                    <w:right w:val="none" w:sz="0" w:space="0" w:color="auto"/>
                  </w:divBdr>
                </w:div>
                <w:div w:id="1563758203">
                  <w:marLeft w:val="0"/>
                  <w:marRight w:val="0"/>
                  <w:marTop w:val="0"/>
                  <w:marBottom w:val="0"/>
                  <w:divBdr>
                    <w:top w:val="none" w:sz="0" w:space="0" w:color="auto"/>
                    <w:left w:val="none" w:sz="0" w:space="0" w:color="auto"/>
                    <w:bottom w:val="none" w:sz="0" w:space="0" w:color="auto"/>
                    <w:right w:val="none" w:sz="0" w:space="0" w:color="auto"/>
                  </w:divBdr>
                </w:div>
              </w:divsChild>
            </w:div>
            <w:div w:id="1431927981">
              <w:marLeft w:val="0"/>
              <w:marRight w:val="0"/>
              <w:marTop w:val="0"/>
              <w:marBottom w:val="0"/>
              <w:divBdr>
                <w:top w:val="none" w:sz="0" w:space="0" w:color="auto"/>
                <w:left w:val="none" w:sz="0" w:space="0" w:color="auto"/>
                <w:bottom w:val="none" w:sz="0" w:space="0" w:color="auto"/>
                <w:right w:val="none" w:sz="0" w:space="0" w:color="auto"/>
              </w:divBdr>
            </w:div>
            <w:div w:id="445851613">
              <w:marLeft w:val="0"/>
              <w:marRight w:val="0"/>
              <w:marTop w:val="0"/>
              <w:marBottom w:val="0"/>
              <w:divBdr>
                <w:top w:val="none" w:sz="0" w:space="0" w:color="auto"/>
                <w:left w:val="none" w:sz="0" w:space="0" w:color="auto"/>
                <w:bottom w:val="none" w:sz="0" w:space="0" w:color="auto"/>
                <w:right w:val="none" w:sz="0" w:space="0" w:color="auto"/>
              </w:divBdr>
            </w:div>
            <w:div w:id="1692224362">
              <w:marLeft w:val="0"/>
              <w:marRight w:val="0"/>
              <w:marTop w:val="0"/>
              <w:marBottom w:val="0"/>
              <w:divBdr>
                <w:top w:val="none" w:sz="0" w:space="0" w:color="auto"/>
                <w:left w:val="none" w:sz="0" w:space="0" w:color="auto"/>
                <w:bottom w:val="none" w:sz="0" w:space="0" w:color="auto"/>
                <w:right w:val="none" w:sz="0" w:space="0" w:color="auto"/>
              </w:divBdr>
            </w:div>
            <w:div w:id="974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9068">
      <w:bodyDiv w:val="1"/>
      <w:marLeft w:val="0"/>
      <w:marRight w:val="0"/>
      <w:marTop w:val="0"/>
      <w:marBottom w:val="0"/>
      <w:divBdr>
        <w:top w:val="none" w:sz="0" w:space="0" w:color="auto"/>
        <w:left w:val="none" w:sz="0" w:space="0" w:color="auto"/>
        <w:bottom w:val="none" w:sz="0" w:space="0" w:color="auto"/>
        <w:right w:val="none" w:sz="0" w:space="0" w:color="auto"/>
      </w:divBdr>
      <w:divsChild>
        <w:div w:id="1751346319">
          <w:marLeft w:val="0"/>
          <w:marRight w:val="0"/>
          <w:marTop w:val="0"/>
          <w:marBottom w:val="0"/>
          <w:divBdr>
            <w:top w:val="none" w:sz="0" w:space="0" w:color="auto"/>
            <w:left w:val="none" w:sz="0" w:space="0" w:color="auto"/>
            <w:bottom w:val="none" w:sz="0" w:space="0" w:color="auto"/>
            <w:right w:val="none" w:sz="0" w:space="0" w:color="auto"/>
          </w:divBdr>
        </w:div>
        <w:div w:id="1441873245">
          <w:marLeft w:val="0"/>
          <w:marRight w:val="0"/>
          <w:marTop w:val="0"/>
          <w:marBottom w:val="0"/>
          <w:divBdr>
            <w:top w:val="none" w:sz="0" w:space="0" w:color="auto"/>
            <w:left w:val="none" w:sz="0" w:space="0" w:color="auto"/>
            <w:bottom w:val="none" w:sz="0" w:space="0" w:color="auto"/>
            <w:right w:val="none" w:sz="0" w:space="0" w:color="auto"/>
          </w:divBdr>
        </w:div>
        <w:div w:id="1838228031">
          <w:marLeft w:val="0"/>
          <w:marRight w:val="0"/>
          <w:marTop w:val="0"/>
          <w:marBottom w:val="0"/>
          <w:divBdr>
            <w:top w:val="none" w:sz="0" w:space="0" w:color="auto"/>
            <w:left w:val="none" w:sz="0" w:space="0" w:color="auto"/>
            <w:bottom w:val="none" w:sz="0" w:space="0" w:color="auto"/>
            <w:right w:val="none" w:sz="0" w:space="0" w:color="auto"/>
          </w:divBdr>
          <w:divsChild>
            <w:div w:id="1125274973">
              <w:marLeft w:val="0"/>
              <w:marRight w:val="0"/>
              <w:marTop w:val="0"/>
              <w:marBottom w:val="0"/>
              <w:divBdr>
                <w:top w:val="none" w:sz="0" w:space="0" w:color="auto"/>
                <w:left w:val="none" w:sz="0" w:space="0" w:color="auto"/>
                <w:bottom w:val="none" w:sz="0" w:space="0" w:color="auto"/>
                <w:right w:val="none" w:sz="0" w:space="0" w:color="auto"/>
              </w:divBdr>
            </w:div>
            <w:div w:id="1818842063">
              <w:marLeft w:val="0"/>
              <w:marRight w:val="0"/>
              <w:marTop w:val="0"/>
              <w:marBottom w:val="0"/>
              <w:divBdr>
                <w:top w:val="none" w:sz="0" w:space="0" w:color="auto"/>
                <w:left w:val="none" w:sz="0" w:space="0" w:color="auto"/>
                <w:bottom w:val="none" w:sz="0" w:space="0" w:color="auto"/>
                <w:right w:val="none" w:sz="0" w:space="0" w:color="auto"/>
              </w:divBdr>
            </w:div>
            <w:div w:id="1185434675">
              <w:marLeft w:val="0"/>
              <w:marRight w:val="0"/>
              <w:marTop w:val="0"/>
              <w:marBottom w:val="0"/>
              <w:divBdr>
                <w:top w:val="none" w:sz="0" w:space="0" w:color="auto"/>
                <w:left w:val="none" w:sz="0" w:space="0" w:color="auto"/>
                <w:bottom w:val="none" w:sz="0" w:space="0" w:color="auto"/>
                <w:right w:val="none" w:sz="0" w:space="0" w:color="auto"/>
              </w:divBdr>
            </w:div>
          </w:divsChild>
        </w:div>
        <w:div w:id="1283196134">
          <w:marLeft w:val="0"/>
          <w:marRight w:val="0"/>
          <w:marTop w:val="0"/>
          <w:marBottom w:val="0"/>
          <w:divBdr>
            <w:top w:val="none" w:sz="0" w:space="0" w:color="auto"/>
            <w:left w:val="none" w:sz="0" w:space="0" w:color="auto"/>
            <w:bottom w:val="none" w:sz="0" w:space="0" w:color="auto"/>
            <w:right w:val="none" w:sz="0" w:space="0" w:color="auto"/>
          </w:divBdr>
        </w:div>
        <w:div w:id="2028436820">
          <w:marLeft w:val="0"/>
          <w:marRight w:val="0"/>
          <w:marTop w:val="0"/>
          <w:marBottom w:val="0"/>
          <w:divBdr>
            <w:top w:val="none" w:sz="0" w:space="0" w:color="auto"/>
            <w:left w:val="none" w:sz="0" w:space="0" w:color="auto"/>
            <w:bottom w:val="none" w:sz="0" w:space="0" w:color="auto"/>
            <w:right w:val="none" w:sz="0" w:space="0" w:color="auto"/>
          </w:divBdr>
        </w:div>
        <w:div w:id="547835304">
          <w:marLeft w:val="0"/>
          <w:marRight w:val="0"/>
          <w:marTop w:val="0"/>
          <w:marBottom w:val="0"/>
          <w:divBdr>
            <w:top w:val="none" w:sz="0" w:space="0" w:color="auto"/>
            <w:left w:val="none" w:sz="0" w:space="0" w:color="auto"/>
            <w:bottom w:val="none" w:sz="0" w:space="0" w:color="auto"/>
            <w:right w:val="none" w:sz="0" w:space="0" w:color="auto"/>
          </w:divBdr>
        </w:div>
        <w:div w:id="1855996874">
          <w:marLeft w:val="0"/>
          <w:marRight w:val="0"/>
          <w:marTop w:val="0"/>
          <w:marBottom w:val="0"/>
          <w:divBdr>
            <w:top w:val="none" w:sz="0" w:space="0" w:color="auto"/>
            <w:left w:val="none" w:sz="0" w:space="0" w:color="auto"/>
            <w:bottom w:val="none" w:sz="0" w:space="0" w:color="auto"/>
            <w:right w:val="none" w:sz="0" w:space="0" w:color="auto"/>
          </w:divBdr>
          <w:divsChild>
            <w:div w:id="1632705686">
              <w:marLeft w:val="0"/>
              <w:marRight w:val="0"/>
              <w:marTop w:val="0"/>
              <w:marBottom w:val="0"/>
              <w:divBdr>
                <w:top w:val="none" w:sz="0" w:space="0" w:color="auto"/>
                <w:left w:val="none" w:sz="0" w:space="0" w:color="auto"/>
                <w:bottom w:val="none" w:sz="0" w:space="0" w:color="auto"/>
                <w:right w:val="none" w:sz="0" w:space="0" w:color="auto"/>
              </w:divBdr>
            </w:div>
            <w:div w:id="1045301724">
              <w:marLeft w:val="0"/>
              <w:marRight w:val="0"/>
              <w:marTop w:val="0"/>
              <w:marBottom w:val="0"/>
              <w:divBdr>
                <w:top w:val="none" w:sz="0" w:space="0" w:color="auto"/>
                <w:left w:val="none" w:sz="0" w:space="0" w:color="auto"/>
                <w:bottom w:val="none" w:sz="0" w:space="0" w:color="auto"/>
                <w:right w:val="none" w:sz="0" w:space="0" w:color="auto"/>
              </w:divBdr>
            </w:div>
            <w:div w:id="1345401535">
              <w:marLeft w:val="0"/>
              <w:marRight w:val="0"/>
              <w:marTop w:val="0"/>
              <w:marBottom w:val="0"/>
              <w:divBdr>
                <w:top w:val="none" w:sz="0" w:space="0" w:color="auto"/>
                <w:left w:val="none" w:sz="0" w:space="0" w:color="auto"/>
                <w:bottom w:val="none" w:sz="0" w:space="0" w:color="auto"/>
                <w:right w:val="none" w:sz="0" w:space="0" w:color="auto"/>
              </w:divBdr>
            </w:div>
          </w:divsChild>
        </w:div>
        <w:div w:id="958954510">
          <w:marLeft w:val="0"/>
          <w:marRight w:val="0"/>
          <w:marTop w:val="0"/>
          <w:marBottom w:val="0"/>
          <w:divBdr>
            <w:top w:val="none" w:sz="0" w:space="0" w:color="auto"/>
            <w:left w:val="none" w:sz="0" w:space="0" w:color="auto"/>
            <w:bottom w:val="none" w:sz="0" w:space="0" w:color="auto"/>
            <w:right w:val="none" w:sz="0" w:space="0" w:color="auto"/>
          </w:divBdr>
        </w:div>
      </w:divsChild>
    </w:div>
    <w:div w:id="166088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fmx.ferring.com.mx/w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14</Pages>
  <Words>3246</Words>
  <Characters>17854</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Encino</dc:creator>
  <cp:lastModifiedBy>MonRoy selvas</cp:lastModifiedBy>
  <cp:revision>12</cp:revision>
  <dcterms:created xsi:type="dcterms:W3CDTF">2023-06-21T01:47:00Z</dcterms:created>
  <dcterms:modified xsi:type="dcterms:W3CDTF">2025-02-25T04:20:00Z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LTSC</vt:lpwstr>
  </property>
  <property fmtid="{D5CDD505-2E9C-101B-9397-08002B2CF9AE}" pid="4" name="LastSaved">
    <vt:filetime>2023-06-21T00:00:00Z</vt:filetime>
  </property>
</Properties>
</file>