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C0" w:rsidRDefault="004266C0" w:rsidP="004266C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19C927A" wp14:editId="6EABFD8D">
            <wp:simplePos x="0" y="0"/>
            <wp:positionH relativeFrom="margin">
              <wp:posOffset>4606290</wp:posOffset>
            </wp:positionH>
            <wp:positionV relativeFrom="margin">
              <wp:posOffset>-171450</wp:posOffset>
            </wp:positionV>
            <wp:extent cx="1200785" cy="9956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40920-WA00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72B0302" wp14:editId="281F419D">
            <wp:simplePos x="0" y="0"/>
            <wp:positionH relativeFrom="page">
              <wp:posOffset>800735</wp:posOffset>
            </wp:positionH>
            <wp:positionV relativeFrom="paragraph">
              <wp:posOffset>-583565</wp:posOffset>
            </wp:positionV>
            <wp:extent cx="1319401" cy="15292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920-WA008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401" cy="152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UNIVESIDAD DEL SURESTE</w:t>
      </w:r>
    </w:p>
    <w:p w:rsidR="004266C0" w:rsidRDefault="004266C0" w:rsidP="004266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MEDICINA VETERINARIA Y ZOTECNIA</w:t>
      </w:r>
    </w:p>
    <w:p w:rsidR="004266C0" w:rsidRDefault="004266C0" w:rsidP="004266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CAMPUS TUXTLA </w:t>
      </w: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TIPOS DE DIAGNOSTICO BECTERIOLOGICO</w:t>
      </w: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PRESENTAN:</w:t>
      </w:r>
    </w:p>
    <w:p w:rsidR="004266C0" w:rsidRDefault="004266C0" w:rsidP="004266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LUIS EDUARDO ESCOBAR ZAMBRANO</w:t>
      </w: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2° CUATRIMESTRE </w:t>
      </w: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</w:t>
      </w:r>
    </w:p>
    <w:p w:rsidR="004266C0" w:rsidRDefault="004266C0" w:rsidP="004266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MVZ ADRIÁN BALBUENA ESPINOSA</w:t>
      </w: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</w:pPr>
    </w:p>
    <w:p w:rsidR="004266C0" w:rsidRDefault="004266C0" w:rsidP="004266C0">
      <w:pPr>
        <w:jc w:val="center"/>
        <w:rPr>
          <w:rFonts w:ascii="Arial" w:hAnsi="Arial" w:cs="Arial"/>
        </w:rPr>
        <w:sectPr w:rsidR="004266C0" w:rsidSect="00F80868">
          <w:footerReference w:type="default" r:id="rId9"/>
          <w:pgSz w:w="12240" w:h="15840"/>
          <w:pgMar w:top="1417" w:right="1701" w:bottom="1417" w:left="1701" w:header="708" w:footer="708" w:gutter="0"/>
          <w:pgNumType w:fmt="upperRoman"/>
          <w:cols w:space="708"/>
          <w:docGrid w:linePitch="360"/>
        </w:sectPr>
      </w:pPr>
      <w:r>
        <w:rPr>
          <w:rFonts w:ascii="Arial" w:hAnsi="Arial" w:cs="Arial"/>
        </w:rPr>
        <w:t>TUXTLA GUTIERREZ, CHIAPAS.8 DE MARZO, 2025</w:t>
      </w:r>
    </w:p>
    <w:p w:rsidR="00F51824" w:rsidRPr="001B1D4C" w:rsidRDefault="00F51824">
      <w:pPr>
        <w:rPr>
          <w:sz w:val="24"/>
        </w:rPr>
      </w:pPr>
      <w:r w:rsidRPr="001B1D4C">
        <w:rPr>
          <w:sz w:val="24"/>
        </w:rPr>
        <w:lastRenderedPageBreak/>
        <w:t>Diagnóstico Bacteriológico</w:t>
      </w:r>
    </w:p>
    <w:p w:rsidR="00F51824" w:rsidRPr="001B1D4C" w:rsidRDefault="00F51824">
      <w:pPr>
        <w:rPr>
          <w:sz w:val="24"/>
        </w:rPr>
      </w:pPr>
      <w:r w:rsidRPr="001B1D4C">
        <w:rPr>
          <w:sz w:val="24"/>
        </w:rPr>
        <w:t xml:space="preserve"> El diagnóstico de las enfermedades infecciosas es un trabajo en equipo entre </w:t>
      </w:r>
      <w:r w:rsidR="00E62394" w:rsidRPr="001B1D4C">
        <w:rPr>
          <w:sz w:val="24"/>
        </w:rPr>
        <w:t>el médico</w:t>
      </w:r>
      <w:r w:rsidRPr="001B1D4C">
        <w:rPr>
          <w:sz w:val="24"/>
        </w:rPr>
        <w:t xml:space="preserve"> que establece su diagnóstico presuntivo sobre la base del cuadro clínico y el especialista en microbiología, </w:t>
      </w:r>
      <w:r w:rsidR="00E62394" w:rsidRPr="001B1D4C">
        <w:rPr>
          <w:sz w:val="24"/>
        </w:rPr>
        <w:t>que,</w:t>
      </w:r>
      <w:r w:rsidRPr="001B1D4C">
        <w:rPr>
          <w:sz w:val="24"/>
        </w:rPr>
        <w:t xml:space="preserve"> dependiendo del diagnóstico presuntivo, debe indicar como tomar y transportar la muestra clínica, así como también, orientar la metodología específica en el diagnóstico a seguir. Puede definirse como el conjunto de procedimientos y técnicas complementarias empleadas para establecer la etiología del agente responsable de una enfermedad infecciosa.</w:t>
      </w:r>
    </w:p>
    <w:p w:rsidR="007B13ED" w:rsidRPr="001B1D4C" w:rsidRDefault="00F51824">
      <w:pPr>
        <w:rPr>
          <w:sz w:val="24"/>
        </w:rPr>
      </w:pPr>
      <w:r w:rsidRPr="001B1D4C">
        <w:rPr>
          <w:sz w:val="24"/>
        </w:rPr>
        <w:t xml:space="preserve"> Los métodos de diagnóstico pueden ser directos o indirectos. El diagnóstico microbiológico directo implica la demostración del agente infeccioso, sus metabolitos o componentes antigénicos en los fluidos </w:t>
      </w:r>
      <w:r w:rsidR="00E62394" w:rsidRPr="001B1D4C">
        <w:rPr>
          <w:sz w:val="24"/>
        </w:rPr>
        <w:t>orgánicos. Incluye</w:t>
      </w:r>
      <w:r w:rsidRPr="001B1D4C">
        <w:rPr>
          <w:sz w:val="24"/>
        </w:rPr>
        <w:t xml:space="preserve"> la elección de la muestra, su transporte, conservación y procesamiento que permita la identificación del patógeno. El diagnóstico bacteriológico incluye el estudio del patrón de sensibilidad antibiótica.</w:t>
      </w:r>
    </w:p>
    <w:p w:rsidR="00F51824" w:rsidRPr="001B1D4C" w:rsidRDefault="001B1D4C" w:rsidP="001B1D4C">
      <w:pPr>
        <w:rPr>
          <w:rFonts w:ascii="Times New Roman" w:hAnsi="Times New Roman"/>
          <w:sz w:val="28"/>
          <w:szCs w:val="24"/>
          <w:lang w:eastAsia="es-MX"/>
        </w:rPr>
      </w:pPr>
      <w:r w:rsidRPr="001B1D4C">
        <w:rPr>
          <w:sz w:val="24"/>
          <w:bdr w:val="none" w:sz="0" w:space="0" w:color="auto" w:frame="1"/>
          <w:lang w:eastAsia="es-MX"/>
        </w:rPr>
        <w:t xml:space="preserve">Métodos fenotípica </w:t>
      </w:r>
    </w:p>
    <w:p w:rsidR="00F51824" w:rsidRPr="001B1D4C" w:rsidRDefault="00F51824" w:rsidP="001B1D4C">
      <w:pPr>
        <w:rPr>
          <w:sz w:val="24"/>
          <w:lang w:eastAsia="es-MX"/>
        </w:rPr>
      </w:pPr>
      <w:r w:rsidRPr="001B1D4C">
        <w:rPr>
          <w:sz w:val="24"/>
          <w:lang w:eastAsia="es-MX"/>
        </w:rPr>
        <w:t xml:space="preserve">Los esquemas tradicionales de identificación fenotípica bacteriana se basan en las características «observables» </w:t>
      </w:r>
      <w:bookmarkStart w:id="0" w:name="_GoBack"/>
      <w:bookmarkEnd w:id="0"/>
      <w:r w:rsidRPr="001B1D4C">
        <w:rPr>
          <w:sz w:val="24"/>
          <w:lang w:eastAsia="es-MX"/>
        </w:rPr>
        <w:t>de las bacterias, como su morfología, desarrollo, y propiedades bioquímicas y metabólicas. El cultivo, cuando es factible, continúa siendo el método diagnóstico de elección; permite el aislamiento del microorganismo implicado, su identificación, el estudio de sensibilidad a los antimicrobianos y facilita la aplicación de marcadores epidemiológicos. En el cultivo es esencial la correcta elección del medio de crecimiento y las condiciones de incubación.</w:t>
      </w:r>
    </w:p>
    <w:p w:rsidR="001B1D4C" w:rsidRPr="001B1D4C" w:rsidRDefault="001B1D4C" w:rsidP="001B1D4C">
      <w:pPr>
        <w:rPr>
          <w:rFonts w:ascii="Times New Roman" w:hAnsi="Times New Roman"/>
          <w:sz w:val="28"/>
          <w:szCs w:val="24"/>
          <w:lang w:eastAsia="es-MX"/>
        </w:rPr>
      </w:pPr>
      <w:r w:rsidRPr="001B1D4C">
        <w:rPr>
          <w:sz w:val="24"/>
          <w:bdr w:val="none" w:sz="0" w:space="0" w:color="auto" w:frame="1"/>
          <w:lang w:eastAsia="es-MX"/>
        </w:rPr>
        <w:t>Métodos moleculares</w:t>
      </w:r>
    </w:p>
    <w:p w:rsidR="001B1D4C" w:rsidRPr="001B1D4C" w:rsidRDefault="001B1D4C" w:rsidP="001B1D4C">
      <w:pPr>
        <w:rPr>
          <w:sz w:val="24"/>
          <w:lang w:eastAsia="es-MX"/>
        </w:rPr>
      </w:pPr>
      <w:r w:rsidRPr="001B1D4C">
        <w:rPr>
          <w:sz w:val="24"/>
          <w:lang w:eastAsia="es-MX"/>
        </w:rPr>
        <w:t xml:space="preserve">La ausencia de concordancia entre las características observables, morfológicas y/o fenotípicas del aislamiento en estudio y las correspondientes a la(s) cepa(s) de la especie tipo, hacen que los métodos fenotípicos </w:t>
      </w:r>
      <w:r w:rsidR="00E62394" w:rsidRPr="001B1D4C">
        <w:rPr>
          <w:sz w:val="24"/>
          <w:lang w:eastAsia="es-MX"/>
        </w:rPr>
        <w:t>realicen</w:t>
      </w:r>
      <w:r w:rsidRPr="001B1D4C">
        <w:rPr>
          <w:sz w:val="24"/>
          <w:lang w:eastAsia="es-MX"/>
        </w:rPr>
        <w:t xml:space="preserve"> la identificación más probable y no definitiva. Para solventar los problemas inherentes presentados por los sistemas de identificación fenotípica —no todas las cepas de una misma especie muestran una característica específica; una misma cepa puede generar diferentes resultados en ensayos repetidos; y las limitaciones en la base de datos de bacterias correspondiente, entre otros— se han impuesto a los métodos genotípicos de identificación bacteriana como procedimientos complementarios o alternativos.</w:t>
      </w:r>
      <w:sdt>
        <w:sdtPr>
          <w:rPr>
            <w:sz w:val="24"/>
            <w:lang w:eastAsia="es-MX"/>
          </w:rPr>
          <w:id w:val="1698421914"/>
          <w:citation/>
        </w:sdtPr>
        <w:sdtEndPr/>
        <w:sdtContent>
          <w:r>
            <w:rPr>
              <w:sz w:val="24"/>
              <w:lang w:eastAsia="es-MX"/>
            </w:rPr>
            <w:fldChar w:fldCharType="begin"/>
          </w:r>
          <w:r>
            <w:rPr>
              <w:sz w:val="24"/>
              <w:lang w:eastAsia="es-MX"/>
            </w:rPr>
            <w:instrText xml:space="preserve"> CITATION els11 \l 2058 </w:instrText>
          </w:r>
          <w:r>
            <w:rPr>
              <w:sz w:val="24"/>
              <w:lang w:eastAsia="es-MX"/>
            </w:rPr>
            <w:fldChar w:fldCharType="separate"/>
          </w:r>
          <w:r>
            <w:rPr>
              <w:noProof/>
              <w:sz w:val="24"/>
              <w:lang w:eastAsia="es-MX"/>
            </w:rPr>
            <w:t xml:space="preserve"> </w:t>
          </w:r>
          <w:r w:rsidRPr="001B1D4C">
            <w:rPr>
              <w:noProof/>
              <w:sz w:val="24"/>
              <w:lang w:eastAsia="es-MX"/>
            </w:rPr>
            <w:t>(elsevier , 2011)</w:t>
          </w:r>
          <w:r>
            <w:rPr>
              <w:sz w:val="24"/>
              <w:lang w:eastAsia="es-MX"/>
            </w:rPr>
            <w:fldChar w:fldCharType="end"/>
          </w:r>
        </w:sdtContent>
      </w:sdt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2075161934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:rsidR="004266C0" w:rsidRDefault="004266C0">
          <w:pPr>
            <w:pStyle w:val="Ttulo1"/>
            <w:rPr>
              <w:lang w:val="es-ES"/>
            </w:rPr>
          </w:pPr>
        </w:p>
        <w:p w:rsidR="004266C0" w:rsidRDefault="004266C0">
          <w:pPr>
            <w:pStyle w:val="Ttulo1"/>
            <w:rPr>
              <w:lang w:val="es-ES"/>
            </w:rPr>
          </w:pPr>
        </w:p>
        <w:p w:rsidR="001B1D4C" w:rsidRDefault="001B1D4C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EndPr/>
          <w:sdtContent>
            <w:p w:rsidR="001B1D4C" w:rsidRDefault="001B1D4C" w:rsidP="001B1D4C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i/>
                  <w:iCs/>
                  <w:noProof/>
                  <w:lang w:val="es-ES"/>
                </w:rPr>
                <w:t xml:space="preserve">elsevier </w:t>
              </w:r>
              <w:r>
                <w:rPr>
                  <w:noProof/>
                  <w:lang w:val="es-ES"/>
                </w:rPr>
                <w:t>. (octubre de 2011). Obtenido de https://www.elsevier.es</w:t>
              </w:r>
            </w:p>
            <w:p w:rsidR="001B1D4C" w:rsidRDefault="001B1D4C" w:rsidP="001B1D4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1B1D4C" w:rsidRPr="001B1D4C" w:rsidRDefault="001B1D4C" w:rsidP="001B1D4C">
      <w:pPr>
        <w:rPr>
          <w:sz w:val="24"/>
          <w:lang w:eastAsia="es-MX"/>
        </w:rPr>
      </w:pPr>
    </w:p>
    <w:sectPr w:rsidR="001B1D4C" w:rsidRPr="001B1D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27" w:rsidRDefault="00EC3227" w:rsidP="004266C0">
      <w:pPr>
        <w:spacing w:after="0" w:line="240" w:lineRule="auto"/>
      </w:pPr>
      <w:r>
        <w:separator/>
      </w:r>
    </w:p>
  </w:endnote>
  <w:endnote w:type="continuationSeparator" w:id="0">
    <w:p w:rsidR="00EC3227" w:rsidRDefault="00EC3227" w:rsidP="0042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314438"/>
      <w:docPartObj>
        <w:docPartGallery w:val="Page Numbers (Bottom of Page)"/>
        <w:docPartUnique/>
      </w:docPartObj>
    </w:sdtPr>
    <w:sdtEndPr/>
    <w:sdtContent>
      <w:p w:rsidR="00D35196" w:rsidRDefault="003D09A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394" w:rsidRPr="00E62394">
          <w:rPr>
            <w:noProof/>
            <w:lang w:val="es-ES"/>
          </w:rPr>
          <w:t>2</w:t>
        </w:r>
        <w:r>
          <w:fldChar w:fldCharType="end"/>
        </w:r>
      </w:p>
    </w:sdtContent>
  </w:sdt>
  <w:p w:rsidR="00D35196" w:rsidRDefault="003D09AB" w:rsidP="00F80868">
    <w:pPr>
      <w:pStyle w:val="Piedepgina"/>
      <w:tabs>
        <w:tab w:val="clear" w:pos="4419"/>
        <w:tab w:val="clear" w:pos="8838"/>
        <w:tab w:val="left" w:pos="578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27" w:rsidRDefault="00EC3227" w:rsidP="004266C0">
      <w:pPr>
        <w:spacing w:after="0" w:line="240" w:lineRule="auto"/>
      </w:pPr>
      <w:r>
        <w:separator/>
      </w:r>
    </w:p>
  </w:footnote>
  <w:footnote w:type="continuationSeparator" w:id="0">
    <w:p w:rsidR="00EC3227" w:rsidRDefault="00EC3227" w:rsidP="00426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24"/>
    <w:rsid w:val="001B1D4C"/>
    <w:rsid w:val="002D0285"/>
    <w:rsid w:val="003D09AB"/>
    <w:rsid w:val="004266C0"/>
    <w:rsid w:val="007B13ED"/>
    <w:rsid w:val="00B53D96"/>
    <w:rsid w:val="00E62394"/>
    <w:rsid w:val="00EC3227"/>
    <w:rsid w:val="00F5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5F543-01D0-448F-B873-8FC75289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1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lsevierstylesectiontitle">
    <w:name w:val="elsevierstylesectiontitle"/>
    <w:basedOn w:val="Fuentedeprrafopredeter"/>
    <w:rsid w:val="00F51824"/>
  </w:style>
  <w:style w:type="paragraph" w:customStyle="1" w:styleId="elsevierstylepara">
    <w:name w:val="elsevierstylepara"/>
    <w:basedOn w:val="Normal"/>
    <w:rsid w:val="00F5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lsevierstylesup">
    <w:name w:val="elsevierstylesup"/>
    <w:basedOn w:val="Fuentedeprrafopredeter"/>
    <w:rsid w:val="00F51824"/>
  </w:style>
  <w:style w:type="character" w:customStyle="1" w:styleId="Ttulo1Car">
    <w:name w:val="Título 1 Car"/>
    <w:basedOn w:val="Fuentedeprrafopredeter"/>
    <w:link w:val="Ttulo1"/>
    <w:uiPriority w:val="9"/>
    <w:rsid w:val="001B1D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B1D4C"/>
  </w:style>
  <w:style w:type="paragraph" w:styleId="Piedepgina">
    <w:name w:val="footer"/>
    <w:basedOn w:val="Normal"/>
    <w:link w:val="PiedepginaCar"/>
    <w:uiPriority w:val="99"/>
    <w:unhideWhenUsed/>
    <w:rsid w:val="00426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6C0"/>
  </w:style>
  <w:style w:type="paragraph" w:styleId="Encabezado">
    <w:name w:val="header"/>
    <w:basedOn w:val="Normal"/>
    <w:link w:val="EncabezadoCar"/>
    <w:uiPriority w:val="99"/>
    <w:unhideWhenUsed/>
    <w:rsid w:val="004266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els11</b:Tag>
    <b:SourceType>InternetSite</b:SourceType>
    <b:Guid>{BFFA5C7B-1B9E-41F0-977C-8CC96976FD34}</b:Guid>
    <b:Title>elsevier </b:Title>
    <b:Year>2011</b:Year>
    <b:Month>octubre </b:Month>
    <b:URL>https://www.elsevier.es</b:URL>
    <b:RefOrder>1</b:RefOrder>
  </b:Source>
</b:Sources>
</file>

<file path=customXml/itemProps1.xml><?xml version="1.0" encoding="utf-8"?>
<ds:datastoreItem xmlns:ds="http://schemas.openxmlformats.org/officeDocument/2006/customXml" ds:itemID="{8D3FFF4E-C142-49E3-9EB3-47622B66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2</cp:revision>
  <dcterms:created xsi:type="dcterms:W3CDTF">2025-03-08T19:52:00Z</dcterms:created>
  <dcterms:modified xsi:type="dcterms:W3CDTF">2025-03-08T19:52:00Z</dcterms:modified>
</cp:coreProperties>
</file>