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231D" w14:textId="464D20F8" w:rsidR="005540BA" w:rsidRDefault="008A0944" w:rsidP="005540BA">
      <w:pPr>
        <w:jc w:val="center"/>
        <w:rPr>
          <w:rFonts w:ascii="Trebuchet MS" w:hAnsi="Trebuchet MS"/>
          <w:b/>
          <w:sz w:val="36"/>
          <w:lang w:val="es-MX"/>
        </w:rPr>
      </w:pPr>
      <w:r>
        <w:rPr>
          <w:rFonts w:ascii="Trebuchet MS" w:hAnsi="Trebuchet MS"/>
          <w:b/>
          <w:noProof/>
          <w:sz w:val="36"/>
          <w:lang w:val="es-MX"/>
        </w:rPr>
        <w:drawing>
          <wp:anchor distT="0" distB="0" distL="114300" distR="114300" simplePos="0" relativeHeight="251658240" behindDoc="1" locked="0" layoutInCell="1" allowOverlap="1" wp14:anchorId="17F6A476" wp14:editId="51B076B8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772400" cy="10039350"/>
            <wp:effectExtent l="0" t="0" r="0" b="0"/>
            <wp:wrapNone/>
            <wp:docPr id="13561340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34006" name="Imagen 13561340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59552" w14:textId="77777777" w:rsidR="005540BA" w:rsidRDefault="005540BA" w:rsidP="00B95098">
      <w:pPr>
        <w:jc w:val="center"/>
        <w:rPr>
          <w:rFonts w:ascii="Trebuchet MS" w:hAnsi="Trebuchet MS"/>
          <w:b/>
          <w:sz w:val="36"/>
        </w:rPr>
      </w:pPr>
    </w:p>
    <w:p w14:paraId="0631B9AD" w14:textId="057BACF3" w:rsidR="00FC78D8" w:rsidRDefault="00FC78D8" w:rsidP="00B95098">
      <w:pPr>
        <w:jc w:val="center"/>
        <w:rPr>
          <w:rFonts w:ascii="Trebuchet MS" w:hAnsi="Trebuchet MS"/>
          <w:b/>
          <w:sz w:val="28"/>
        </w:rPr>
      </w:pPr>
    </w:p>
    <w:p w14:paraId="74A6A9A3" w14:textId="77777777" w:rsidR="00FC78D8" w:rsidRDefault="00FC78D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br w:type="page"/>
      </w:r>
    </w:p>
    <w:p w14:paraId="6BA0737F" w14:textId="583DC08A" w:rsidR="00FC78D8" w:rsidRDefault="00FC78D8" w:rsidP="00FC78D8">
      <w:pPr>
        <w:rPr>
          <w:rFonts w:ascii="Arial" w:hAnsi="Arial" w:cs="Arial"/>
          <w:b/>
          <w:sz w:val="36"/>
          <w:szCs w:val="28"/>
        </w:rPr>
      </w:pPr>
      <w:r w:rsidRPr="00FC78D8">
        <w:rPr>
          <w:rFonts w:ascii="Arial" w:hAnsi="Arial" w:cs="Arial"/>
          <w:b/>
          <w:sz w:val="36"/>
          <w:szCs w:val="28"/>
        </w:rPr>
        <w:lastRenderedPageBreak/>
        <w:t>Introducción</w:t>
      </w:r>
    </w:p>
    <w:p w14:paraId="104F8580" w14:textId="77777777" w:rsidR="00FC78D8" w:rsidRDefault="00FC78D8" w:rsidP="00FC78D8">
      <w:pPr>
        <w:rPr>
          <w:rFonts w:ascii="Arial" w:hAnsi="Arial" w:cs="Arial"/>
          <w:b/>
          <w:sz w:val="36"/>
          <w:szCs w:val="28"/>
        </w:rPr>
      </w:pPr>
    </w:p>
    <w:p w14:paraId="7714A7DE" w14:textId="77777777" w:rsidR="00B82ECF" w:rsidRPr="00B82ECF" w:rsidRDefault="00B82ECF" w:rsidP="00B82ECF">
      <w:pPr>
        <w:spacing w:line="360" w:lineRule="auto"/>
        <w:jc w:val="both"/>
        <w:rPr>
          <w:rFonts w:ascii="Arial" w:hAnsi="Arial" w:cs="Arial"/>
          <w:bCs/>
          <w:sz w:val="24"/>
          <w:szCs w:val="20"/>
        </w:rPr>
      </w:pPr>
    </w:p>
    <w:p w14:paraId="6E78E92E" w14:textId="2DD24454" w:rsidR="00B82ECF" w:rsidRPr="00B82ECF" w:rsidRDefault="00B82ECF" w:rsidP="00B82ECF">
      <w:pPr>
        <w:spacing w:line="360" w:lineRule="auto"/>
        <w:jc w:val="both"/>
        <w:rPr>
          <w:rFonts w:ascii="Arial" w:hAnsi="Arial" w:cs="Arial"/>
          <w:bCs/>
          <w:sz w:val="24"/>
          <w:szCs w:val="20"/>
        </w:rPr>
      </w:pPr>
      <w:r w:rsidRPr="00B82ECF">
        <w:rPr>
          <w:rFonts w:ascii="Arial" w:hAnsi="Arial" w:cs="Arial"/>
          <w:bCs/>
          <w:sz w:val="24"/>
          <w:szCs w:val="20"/>
        </w:rPr>
        <w:t>Este texto tratará sobre la atención primaria de salud (APS) y la promoción de la salud, destacando su importancia como pilares fundamentales del bienestar de las comunidades. Se explicará en qué consiste la APS, su relevancia en la prevención de enfermedades y en la mejora de la calidad de vida, siguiendo las definiciones y directrices establecidas por la Organización Mundial de la Salud (OMS). Asimismo, se analizarán las estrategias definidas por la OMS para fortalecer la APS, los objetivos y elementos esenciales de la promoción de la salud, y las recomendaciones de la Organización de las Naciones Unidas (ONU) para garantizar la protección de la salud a nivel global.</w:t>
      </w:r>
    </w:p>
    <w:p w14:paraId="2F967B87" w14:textId="77777777" w:rsidR="00B82ECF" w:rsidRDefault="00B82ECF" w:rsidP="00B82ECF">
      <w:pPr>
        <w:spacing w:line="360" w:lineRule="auto"/>
        <w:jc w:val="both"/>
        <w:rPr>
          <w:rFonts w:ascii="Arial" w:hAnsi="Arial" w:cs="Arial"/>
          <w:bCs/>
          <w:sz w:val="24"/>
          <w:szCs w:val="20"/>
        </w:rPr>
      </w:pPr>
    </w:p>
    <w:p w14:paraId="5088D730" w14:textId="42F5A223" w:rsidR="00A54098" w:rsidRPr="003A38E4" w:rsidRDefault="00A54098" w:rsidP="00B82ECF">
      <w:pPr>
        <w:spacing w:line="360" w:lineRule="auto"/>
        <w:jc w:val="both"/>
        <w:rPr>
          <w:rFonts w:ascii="Arial" w:hAnsi="Arial" w:cs="Arial"/>
          <w:b/>
          <w:sz w:val="36"/>
          <w:szCs w:val="28"/>
        </w:rPr>
      </w:pPr>
      <w:r w:rsidRPr="003A38E4">
        <w:rPr>
          <w:rFonts w:ascii="Arial" w:hAnsi="Arial" w:cs="Arial"/>
          <w:b/>
          <w:sz w:val="36"/>
          <w:szCs w:val="28"/>
        </w:rPr>
        <w:t>Desarrollo</w:t>
      </w:r>
    </w:p>
    <w:p w14:paraId="0573AB6C" w14:textId="77777777" w:rsidR="00E54725" w:rsidRPr="00E54725" w:rsidRDefault="00E54725" w:rsidP="00B82ECF">
      <w:pPr>
        <w:spacing w:line="360" w:lineRule="auto"/>
        <w:jc w:val="both"/>
        <w:rPr>
          <w:rFonts w:ascii="Arial" w:hAnsi="Arial" w:cs="Arial"/>
          <w:b/>
          <w:sz w:val="32"/>
          <w:szCs w:val="24"/>
        </w:rPr>
      </w:pPr>
    </w:p>
    <w:p w14:paraId="0AE02DBD" w14:textId="29741F6D" w:rsidR="00B82ECF" w:rsidRDefault="00A54098" w:rsidP="00A97551">
      <w:pPr>
        <w:spacing w:line="360" w:lineRule="auto"/>
        <w:jc w:val="both"/>
        <w:rPr>
          <w:rFonts w:ascii="Arial" w:hAnsi="Arial" w:cs="Arial"/>
          <w:bCs/>
          <w:sz w:val="24"/>
          <w:szCs w:val="20"/>
        </w:rPr>
      </w:pPr>
      <w:r w:rsidRPr="00A54098">
        <w:rPr>
          <w:rFonts w:ascii="Arial" w:hAnsi="Arial" w:cs="Arial"/>
          <w:b/>
          <w:bCs/>
          <w:sz w:val="24"/>
          <w:szCs w:val="20"/>
        </w:rPr>
        <w:t>Atención primaria de salud</w:t>
      </w:r>
    </w:p>
    <w:p w14:paraId="2B944203" w14:textId="77777777" w:rsidR="00A54098" w:rsidRPr="00A54098" w:rsidRDefault="00A54098" w:rsidP="00A54098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A54098">
        <w:rPr>
          <w:rFonts w:ascii="Arial" w:hAnsi="Arial" w:cs="Arial"/>
          <w:bCs/>
          <w:sz w:val="24"/>
          <w:szCs w:val="20"/>
        </w:rPr>
        <w:t>La APS es un enfoque de la salud que incluye a toda la sociedad y que tiene por objeto garantizar el mayor nivel posible de salud y bienestar y su distribución equitativa mediante la atención centrada en las necesidades de las personas tan pronto como sea posible a lo largo del proceso continuo que va desde la promoción de la salud y la prevención de enfermedades hasta el tratamiento, la rehabilitación y los cuidados paliativos, y tan próximo como sea posible del entorno cotidiano de las personas.</w:t>
      </w:r>
    </w:p>
    <w:p w14:paraId="71B53C70" w14:textId="77777777" w:rsidR="00A54098" w:rsidRPr="00A54098" w:rsidRDefault="00A54098" w:rsidP="00A54098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A54098">
        <w:rPr>
          <w:rFonts w:ascii="Arial" w:hAnsi="Arial" w:cs="Arial"/>
          <w:b/>
          <w:bCs/>
          <w:sz w:val="24"/>
          <w:szCs w:val="20"/>
          <w:lang w:val="en-US"/>
        </w:rPr>
        <w:t xml:space="preserve">¿En </w:t>
      </w:r>
      <w:proofErr w:type="spellStart"/>
      <w:r w:rsidRPr="00A54098">
        <w:rPr>
          <w:rFonts w:ascii="Arial" w:hAnsi="Arial" w:cs="Arial"/>
          <w:b/>
          <w:bCs/>
          <w:sz w:val="24"/>
          <w:szCs w:val="20"/>
          <w:lang w:val="en-US"/>
        </w:rPr>
        <w:t>qué</w:t>
      </w:r>
      <w:proofErr w:type="spellEnd"/>
      <w:r w:rsidRPr="00A54098">
        <w:rPr>
          <w:rFonts w:ascii="Arial" w:hAnsi="Arial" w:cs="Arial"/>
          <w:b/>
          <w:bCs/>
          <w:sz w:val="24"/>
          <w:szCs w:val="20"/>
          <w:lang w:val="en-US"/>
        </w:rPr>
        <w:t xml:space="preserve"> </w:t>
      </w:r>
      <w:r w:rsidRPr="00A54098">
        <w:rPr>
          <w:rFonts w:ascii="Arial" w:hAnsi="Arial" w:cs="Arial"/>
          <w:b/>
          <w:bCs/>
          <w:sz w:val="24"/>
          <w:szCs w:val="20"/>
        </w:rPr>
        <w:t>consiste</w:t>
      </w:r>
      <w:r w:rsidRPr="00A54098">
        <w:rPr>
          <w:rFonts w:ascii="Arial" w:hAnsi="Arial" w:cs="Arial"/>
          <w:b/>
          <w:bCs/>
          <w:sz w:val="24"/>
          <w:szCs w:val="20"/>
          <w:lang w:val="en-US"/>
        </w:rPr>
        <w:t xml:space="preserve"> la APS?</w:t>
      </w:r>
    </w:p>
    <w:p w14:paraId="50DC7C3D" w14:textId="28447187" w:rsidR="00A54098" w:rsidRDefault="00A54098" w:rsidP="00A54098">
      <w:pPr>
        <w:spacing w:line="360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A54098">
        <w:rPr>
          <w:rFonts w:ascii="Arial" w:hAnsi="Arial" w:cs="Arial"/>
          <w:bCs/>
          <w:sz w:val="24"/>
          <w:szCs w:val="20"/>
        </w:rPr>
        <w:t>Garantizar a las personas una atención integral de calidad desde la promoción y la prevención hasta el tratamiento, la rehabilitación y los cuidados paliativos lo más cerca posible de sus lugares habituales.</w:t>
      </w:r>
      <w:r w:rsidR="00E54725">
        <w:rPr>
          <w:rFonts w:ascii="Arial" w:hAnsi="Arial" w:cs="Arial"/>
          <w:bCs/>
          <w:sz w:val="24"/>
          <w:szCs w:val="20"/>
        </w:rPr>
        <w:t xml:space="preserve"> Entonces sabiendo eso… </w:t>
      </w:r>
      <w:proofErr w:type="gramStart"/>
      <w:r w:rsidR="00E54725" w:rsidRPr="00E54725">
        <w:rPr>
          <w:rFonts w:ascii="Arial" w:hAnsi="Arial" w:cs="Arial"/>
          <w:b/>
          <w:bCs/>
          <w:sz w:val="24"/>
          <w:szCs w:val="20"/>
        </w:rPr>
        <w:t>Por qué es importante la atención primaria de salud?</w:t>
      </w:r>
      <w:proofErr w:type="gramEnd"/>
    </w:p>
    <w:p w14:paraId="1CA101AC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Es importante debido al enfoque, debido a que es más inclusivo, equitativo, costo eficaz y es </w:t>
      </w:r>
      <w:proofErr w:type="spellStart"/>
      <w:r w:rsidRPr="00E54725">
        <w:rPr>
          <w:rFonts w:ascii="Arial" w:hAnsi="Arial" w:cs="Arial"/>
          <w:bCs/>
          <w:sz w:val="24"/>
          <w:szCs w:val="20"/>
          <w:lang w:val="es-MX"/>
        </w:rPr>
        <w:t>mas</w:t>
      </w:r>
      <w:proofErr w:type="spell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efectivo para mejorar la salud física y mental de las personas, así como su bienestar social.</w:t>
      </w:r>
    </w:p>
    <w:p w14:paraId="67C9E199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también es fundamental para que los sistemas de salud sean más resilientes en situaciones de crisis, sean más dinámicos en la detección de los primeros signos de epidemias y estén </w:t>
      </w:r>
      <w:r w:rsidRPr="00E54725">
        <w:rPr>
          <w:rFonts w:ascii="Arial" w:hAnsi="Arial" w:cs="Arial"/>
          <w:bCs/>
          <w:sz w:val="24"/>
          <w:szCs w:val="20"/>
          <w:lang w:val="es-MX"/>
        </w:rPr>
        <w:lastRenderedPageBreak/>
        <w:t xml:space="preserve">más preparados para actuar de forma temprana en respuesta a los aumentos en la demanda de servicios. </w:t>
      </w:r>
    </w:p>
    <w:p w14:paraId="24DF0F73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/>
          <w:bCs/>
          <w:sz w:val="24"/>
          <w:szCs w:val="20"/>
        </w:rPr>
        <w:t>La OMS ha definido tres esferas estratégicas de trabajo para fortalecer la APS en todo el mundo:</w:t>
      </w:r>
    </w:p>
    <w:p w14:paraId="640AFC89" w14:textId="77777777" w:rsidR="00E54725" w:rsidRPr="00E54725" w:rsidRDefault="00E54725" w:rsidP="00E5472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i/>
          <w:iCs/>
          <w:sz w:val="24"/>
          <w:szCs w:val="20"/>
        </w:rPr>
        <w:t>Proporcionar un servicio de apoyo de ‘ventanilla única’ a los Estados Miembros para la aplicación de la APS en función de su contexto y prioridades</w:t>
      </w:r>
      <w:r w:rsidRPr="00E54725">
        <w:rPr>
          <w:rFonts w:ascii="Arial" w:hAnsi="Arial" w:cs="Arial"/>
          <w:bCs/>
          <w:sz w:val="24"/>
          <w:szCs w:val="20"/>
        </w:rPr>
        <w:t>.</w:t>
      </w:r>
    </w:p>
    <w:p w14:paraId="1486EE96" w14:textId="77777777" w:rsidR="00E54725" w:rsidRPr="00E54725" w:rsidRDefault="00E54725" w:rsidP="00E5472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i/>
          <w:iCs/>
          <w:sz w:val="24"/>
          <w:szCs w:val="20"/>
        </w:rPr>
        <w:t>Generar soluciones innovadoras y datos probatorios sobre la APS, prestando una mayor atención a las personas que se quedan atrás</w:t>
      </w:r>
      <w:r w:rsidRPr="00E54725">
        <w:rPr>
          <w:rFonts w:ascii="Arial" w:hAnsi="Arial" w:cs="Arial"/>
          <w:bCs/>
          <w:sz w:val="24"/>
          <w:szCs w:val="20"/>
        </w:rPr>
        <w:t>. </w:t>
      </w:r>
    </w:p>
    <w:p w14:paraId="1D225982" w14:textId="77777777" w:rsidR="00E54725" w:rsidRPr="00E54725" w:rsidRDefault="00E54725" w:rsidP="00A9755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i/>
          <w:iCs/>
          <w:sz w:val="24"/>
          <w:szCs w:val="20"/>
        </w:rPr>
        <w:t>Promover la renovación de la APS mediante el liderazgo en políticas, la promoción y las asociaciones estratégicas</w:t>
      </w:r>
      <w:r w:rsidRPr="00E54725">
        <w:rPr>
          <w:rFonts w:ascii="Arial" w:hAnsi="Arial" w:cs="Arial"/>
          <w:bCs/>
          <w:sz w:val="24"/>
          <w:szCs w:val="20"/>
        </w:rPr>
        <w:t> con gobiernos, organizaciones no gubernamentales, organizaciones de la sociedad civil, asociados para el desarrollo, organismos hermanos de las Naciones Unidas, donantes y otras partes interesadas a nivel mundial, regional y de país.</w:t>
      </w:r>
    </w:p>
    <w:p w14:paraId="52978490" w14:textId="77777777" w:rsid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</w:rPr>
      </w:pPr>
    </w:p>
    <w:p w14:paraId="6288A0D7" w14:textId="77777777" w:rsidR="00E54725" w:rsidRDefault="00E54725" w:rsidP="00E54725">
      <w:pPr>
        <w:spacing w:line="360" w:lineRule="auto"/>
        <w:jc w:val="both"/>
        <w:rPr>
          <w:rFonts w:ascii="Trebuchet MS" w:hAnsi="Trebuchet MS"/>
          <w:b/>
          <w:sz w:val="28"/>
        </w:rPr>
      </w:pPr>
      <w:r>
        <w:rPr>
          <w:rFonts w:ascii="Arial" w:hAnsi="Arial" w:cs="Arial"/>
          <w:b/>
          <w:sz w:val="24"/>
          <w:szCs w:val="20"/>
        </w:rPr>
        <w:t>¿</w:t>
      </w:r>
      <w:r w:rsidRPr="00E54725">
        <w:rPr>
          <w:rFonts w:ascii="Arial" w:hAnsi="Arial" w:cs="Arial"/>
          <w:b/>
          <w:sz w:val="24"/>
          <w:szCs w:val="20"/>
        </w:rPr>
        <w:t>En que consiste entonces la promoción a la salud</w:t>
      </w:r>
      <w:r>
        <w:rPr>
          <w:rFonts w:ascii="Trebuchet MS" w:hAnsi="Trebuchet MS"/>
          <w:b/>
          <w:sz w:val="28"/>
        </w:rPr>
        <w:t>?</w:t>
      </w:r>
    </w:p>
    <w:p w14:paraId="4A7B348C" w14:textId="77777777" w:rsidR="00E54725" w:rsidRDefault="00E54725" w:rsidP="00E54725">
      <w:pPr>
        <w:spacing w:line="360" w:lineRule="auto"/>
        <w:jc w:val="both"/>
        <w:rPr>
          <w:rFonts w:ascii="Trebuchet MS" w:hAnsi="Trebuchet MS"/>
          <w:b/>
          <w:sz w:val="28"/>
        </w:rPr>
      </w:pPr>
    </w:p>
    <w:p w14:paraId="2FDC8BF7" w14:textId="42F3A52F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La </w:t>
      </w: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promoción  de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la salud es un   proceso clave para lograr  que la población tenga  un mayor  control sobre su salud y logre, con ciertas medidas, mantenerla a un nivel </w:t>
      </w:r>
      <w:proofErr w:type="spellStart"/>
      <w:r w:rsidRPr="00E54725">
        <w:rPr>
          <w:rFonts w:ascii="Arial" w:hAnsi="Arial" w:cs="Arial"/>
          <w:bCs/>
          <w:sz w:val="24"/>
          <w:szCs w:val="20"/>
          <w:lang w:val="es-MX"/>
        </w:rPr>
        <w:t>optimo</w:t>
      </w:r>
      <w:proofErr w:type="spellEnd"/>
      <w:r>
        <w:rPr>
          <w:rFonts w:ascii="Arial" w:hAnsi="Arial" w:cs="Arial"/>
          <w:bCs/>
          <w:sz w:val="24"/>
          <w:szCs w:val="20"/>
          <w:lang w:val="es-MX"/>
        </w:rPr>
        <w:t>. Se</w:t>
      </w: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define como “</w:t>
      </w: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el  proceso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de capacitar a las personas para aumentar el control sobre los determinantes  de la salud  y con ello mejorar  su </w:t>
      </w:r>
      <w:proofErr w:type="spellStart"/>
      <w:r w:rsidRPr="00E54725">
        <w:rPr>
          <w:rFonts w:ascii="Arial" w:hAnsi="Arial" w:cs="Arial"/>
          <w:bCs/>
          <w:sz w:val="24"/>
          <w:szCs w:val="20"/>
          <w:lang w:val="es-MX"/>
        </w:rPr>
        <w:t>salud”.La</w:t>
      </w:r>
      <w:proofErr w:type="spell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promoción de la salud fue impulsada por la organización mundial de  la salud (OMS) a través de la carta de </w:t>
      </w:r>
      <w:proofErr w:type="spellStart"/>
      <w:r w:rsidRPr="00E54725">
        <w:rPr>
          <w:rFonts w:ascii="Arial" w:hAnsi="Arial" w:cs="Arial"/>
          <w:bCs/>
          <w:sz w:val="24"/>
          <w:szCs w:val="20"/>
          <w:lang w:val="es-MX"/>
        </w:rPr>
        <w:t>ottawa</w:t>
      </w:r>
      <w:proofErr w:type="spell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en 1986</w:t>
      </w:r>
    </w:p>
    <w:p w14:paraId="54CD9115" w14:textId="77777777" w:rsid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El bienestar de la sociedad es uno de los propósitos principales de cualquier estado. Para lograrlo, </w:t>
      </w: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la  promoción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de la salud juega un papel fundamental porque  permite que las personas, de forma  individual y  colectiva, adquieran mayor  control  sobre  su propia salud y la mejoren.</w:t>
      </w:r>
    </w:p>
    <w:p w14:paraId="5F0D01F8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</w:p>
    <w:p w14:paraId="5E644D58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Esta </w:t>
      </w: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carta  </w:t>
      </w:r>
      <w:proofErr w:type="spellStart"/>
      <w:r w:rsidRPr="00E54725">
        <w:rPr>
          <w:rFonts w:ascii="Arial" w:hAnsi="Arial" w:cs="Arial"/>
          <w:bCs/>
          <w:sz w:val="24"/>
          <w:szCs w:val="20"/>
          <w:lang w:val="es-MX"/>
        </w:rPr>
        <w:t>esta</w:t>
      </w:r>
      <w:proofErr w:type="spellEnd"/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 formada por tres estrategias básicas: </w:t>
      </w:r>
    </w:p>
    <w:p w14:paraId="48F8225A" w14:textId="77777777" w:rsidR="00E54725" w:rsidRPr="00E54725" w:rsidRDefault="00E54725" w:rsidP="00E547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La  abogacía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por la salud para crear las condiciones sanitarias esenciales.</w:t>
      </w:r>
    </w:p>
    <w:p w14:paraId="724ABA6C" w14:textId="77777777" w:rsidR="00E54725" w:rsidRPr="00E54725" w:rsidRDefault="00E54725" w:rsidP="00E547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>Facilitar y fomentar que cada persona desarrolle un completo potencial de salud.</w:t>
      </w:r>
    </w:p>
    <w:p w14:paraId="37DEB85F" w14:textId="77777777" w:rsidR="00E54725" w:rsidRDefault="00E54725" w:rsidP="00E547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Papel de </w:t>
      </w: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mediación  entre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los intereses encontrados en la sociedad.</w:t>
      </w:r>
    </w:p>
    <w:p w14:paraId="1647A070" w14:textId="77777777" w:rsid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</w:p>
    <w:p w14:paraId="482BA8AE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</w:p>
    <w:p w14:paraId="60DCF55D" w14:textId="593243A3" w:rsidR="00E54725" w:rsidRDefault="00E54725" w:rsidP="00E54725">
      <w:pPr>
        <w:spacing w:line="360" w:lineRule="auto"/>
        <w:jc w:val="both"/>
        <w:rPr>
          <w:rFonts w:ascii="Arial" w:hAnsi="Arial" w:cs="Arial"/>
          <w:b/>
          <w:sz w:val="24"/>
          <w:szCs w:val="20"/>
          <w:lang w:val="es-MX"/>
        </w:rPr>
      </w:pPr>
      <w:r>
        <w:rPr>
          <w:rFonts w:ascii="Arial" w:hAnsi="Arial" w:cs="Arial"/>
          <w:b/>
          <w:sz w:val="24"/>
          <w:szCs w:val="20"/>
          <w:lang w:val="es-MX"/>
        </w:rPr>
        <w:lastRenderedPageBreak/>
        <w:t>¿Cuáles son entonces sus objetivos?</w:t>
      </w:r>
    </w:p>
    <w:p w14:paraId="4B369215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La promoción </w:t>
      </w: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de  la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salud persigue  el bienestar general de la sociedad, así como los siguientes objetivos, basados  en la carta de </w:t>
      </w:r>
      <w:proofErr w:type="spellStart"/>
      <w:r w:rsidRPr="00E54725">
        <w:rPr>
          <w:rFonts w:ascii="Arial" w:hAnsi="Arial" w:cs="Arial"/>
          <w:bCs/>
          <w:sz w:val="24"/>
          <w:szCs w:val="20"/>
          <w:lang w:val="es-MX"/>
        </w:rPr>
        <w:t>ottawa</w:t>
      </w:r>
      <w:proofErr w:type="spell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: </w:t>
      </w:r>
    </w:p>
    <w:p w14:paraId="078F1E74" w14:textId="77777777" w:rsidR="00E54725" w:rsidRPr="00E54725" w:rsidRDefault="00E54725" w:rsidP="00E5472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Mejorar la calidad y condiciones de </w:t>
      </w: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vida  de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la población y minimizar riesgos. </w:t>
      </w:r>
    </w:p>
    <w:p w14:paraId="188FEE0F" w14:textId="77777777" w:rsidR="00E54725" w:rsidRPr="00E54725" w:rsidRDefault="00E54725" w:rsidP="00E5472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Lograr la equidad sanitaria. </w:t>
      </w:r>
    </w:p>
    <w:p w14:paraId="64AC657A" w14:textId="77777777" w:rsidR="00E54725" w:rsidRPr="00E54725" w:rsidRDefault="00E54725" w:rsidP="00E5472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>Motivar la toma de decisiones de la sociedad sobre la salud.</w:t>
      </w:r>
    </w:p>
    <w:p w14:paraId="44BDE3B8" w14:textId="77777777" w:rsidR="00E54725" w:rsidRDefault="00E54725" w:rsidP="00E5472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proofErr w:type="gramStart"/>
      <w:r w:rsidRPr="00E54725">
        <w:rPr>
          <w:rFonts w:ascii="Arial" w:hAnsi="Arial" w:cs="Arial"/>
          <w:bCs/>
          <w:sz w:val="24"/>
          <w:szCs w:val="20"/>
          <w:lang w:val="es-MX"/>
        </w:rPr>
        <w:t>Garantizar  una</w:t>
      </w:r>
      <w:proofErr w:type="gramEnd"/>
      <w:r w:rsidRPr="00E54725">
        <w:rPr>
          <w:rFonts w:ascii="Arial" w:hAnsi="Arial" w:cs="Arial"/>
          <w:bCs/>
          <w:sz w:val="24"/>
          <w:szCs w:val="20"/>
          <w:lang w:val="es-MX"/>
        </w:rPr>
        <w:t xml:space="preserve"> política sanitaria preocupada por la salud.</w:t>
      </w:r>
    </w:p>
    <w:p w14:paraId="5D8417D9" w14:textId="77777777" w:rsidR="00E54725" w:rsidRP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</w:p>
    <w:p w14:paraId="7B73939E" w14:textId="01E90931" w:rsidR="00E54725" w:rsidRDefault="005540BA" w:rsidP="00E54725">
      <w:pPr>
        <w:spacing w:line="360" w:lineRule="auto"/>
        <w:jc w:val="both"/>
        <w:rPr>
          <w:rFonts w:ascii="Arial" w:hAnsi="Arial" w:cs="Arial"/>
          <w:b/>
          <w:sz w:val="24"/>
          <w:szCs w:val="20"/>
          <w:lang w:val="es-MX"/>
        </w:rPr>
      </w:pPr>
      <w:proofErr w:type="spellStart"/>
      <w:r>
        <w:rPr>
          <w:rFonts w:ascii="Arial" w:hAnsi="Arial" w:cs="Arial"/>
          <w:b/>
          <w:sz w:val="24"/>
          <w:szCs w:val="20"/>
          <w:lang w:val="es-MX"/>
        </w:rPr>
        <w:t>Proteccion</w:t>
      </w:r>
      <w:proofErr w:type="spellEnd"/>
      <w:r w:rsidR="00E54725">
        <w:rPr>
          <w:rFonts w:ascii="Arial" w:hAnsi="Arial" w:cs="Arial"/>
          <w:b/>
          <w:sz w:val="24"/>
          <w:szCs w:val="20"/>
          <w:lang w:val="es-MX"/>
        </w:rPr>
        <w:t xml:space="preserve"> a la salud </w:t>
      </w:r>
    </w:p>
    <w:p w14:paraId="49AA5910" w14:textId="77777777" w:rsidR="00E54725" w:rsidRDefault="00E54725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E54725">
        <w:rPr>
          <w:rFonts w:ascii="Arial" w:hAnsi="Arial" w:cs="Arial"/>
          <w:bCs/>
          <w:sz w:val="24"/>
          <w:szCs w:val="20"/>
          <w:lang w:val="es-MX"/>
        </w:rPr>
        <w:t>Es el derecho de todo ser humano a que se le garanticen las condiciones necesarias para lograr su bienestar físico, mental y social, a través de bienes y servicios de calidad que le aseguren el más alto nivel posible de salud.</w:t>
      </w:r>
    </w:p>
    <w:p w14:paraId="70E07EB3" w14:textId="77777777" w:rsidR="005540BA" w:rsidRPr="00E54725" w:rsidRDefault="005540BA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</w:p>
    <w:p w14:paraId="22C63D1A" w14:textId="39477346" w:rsidR="00E54725" w:rsidRPr="00E54725" w:rsidRDefault="005540BA" w:rsidP="00E54725">
      <w:p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>
        <w:rPr>
          <w:rFonts w:ascii="Arial" w:hAnsi="Arial" w:cs="Arial"/>
          <w:b/>
          <w:bCs/>
          <w:sz w:val="24"/>
          <w:szCs w:val="20"/>
        </w:rPr>
        <w:t>L</w:t>
      </w:r>
      <w:r w:rsidRPr="005540BA">
        <w:rPr>
          <w:rFonts w:ascii="Arial" w:hAnsi="Arial" w:cs="Arial"/>
          <w:b/>
          <w:bCs/>
          <w:sz w:val="24"/>
          <w:szCs w:val="20"/>
        </w:rPr>
        <w:t>a Organización de las Naciones Unidas destaca elementos esenciales e interrelacionados que el Estado debe garantizar, tales como:</w:t>
      </w:r>
    </w:p>
    <w:p w14:paraId="54F1B9CF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b/>
          <w:bCs/>
          <w:sz w:val="24"/>
          <w:szCs w:val="20"/>
          <w:lang w:val="es-MX"/>
        </w:rPr>
      </w:pPr>
      <w:r w:rsidRPr="005540BA">
        <w:rPr>
          <w:rFonts w:ascii="Arial" w:hAnsi="Arial" w:cs="Arial"/>
          <w:b/>
          <w:bCs/>
          <w:sz w:val="24"/>
          <w:szCs w:val="20"/>
          <w:lang w:val="es-MX"/>
        </w:rPr>
        <w:t>Aceptabilidad</w:t>
      </w:r>
    </w:p>
    <w:p w14:paraId="5872159C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sz w:val="24"/>
          <w:szCs w:val="20"/>
          <w:lang w:val="es-MX"/>
        </w:rPr>
        <w:t xml:space="preserve"> Los servicios de salud deberán estar basados en la ética médica, y culturalmente apropiados, sensibles a los requisitos del género y el ciclo de la vida para respetar la confidencialidad y</w:t>
      </w:r>
    </w:p>
    <w:p w14:paraId="2BB3F297" w14:textId="77777777" w:rsid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sz w:val="24"/>
          <w:szCs w:val="20"/>
          <w:lang w:val="es-MX"/>
        </w:rPr>
        <w:t>mejorar el estado de salud de las personas.</w:t>
      </w:r>
    </w:p>
    <w:p w14:paraId="736988F9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b/>
          <w:bCs/>
          <w:sz w:val="24"/>
          <w:szCs w:val="20"/>
          <w:lang w:val="es-MX"/>
        </w:rPr>
        <w:t>Disponibilidad</w:t>
      </w:r>
    </w:p>
    <w:p w14:paraId="32B8B776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sz w:val="24"/>
          <w:szCs w:val="20"/>
          <w:lang w:val="es-MX"/>
        </w:rPr>
        <w:t>El Estado deberá contar con establecimientos, bienes, servicios públicos, centros de atención y programas de salud en cantidad suficiente.</w:t>
      </w:r>
    </w:p>
    <w:p w14:paraId="06145086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b/>
          <w:bCs/>
          <w:sz w:val="24"/>
          <w:szCs w:val="20"/>
          <w:lang w:val="es-MX"/>
        </w:rPr>
        <w:t>Accesibilidad</w:t>
      </w:r>
    </w:p>
    <w:p w14:paraId="5461D083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sz w:val="24"/>
          <w:szCs w:val="20"/>
          <w:lang w:val="es-MX"/>
        </w:rPr>
        <w:t>Los establecimientos, bienes y servicios de salud deben ser accesibles para todos, lo que comprende el alcance físico y económico de toda la colectividad y el derecho a solicitar, recibir y difundir cuestiones relacionadas con la salud.</w:t>
      </w:r>
    </w:p>
    <w:p w14:paraId="61B2BD43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b/>
          <w:bCs/>
          <w:sz w:val="24"/>
          <w:szCs w:val="20"/>
          <w:lang w:val="es-MX"/>
        </w:rPr>
        <w:t>Calidad</w:t>
      </w:r>
    </w:p>
    <w:p w14:paraId="21138D2E" w14:textId="08FA702F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  <w:r w:rsidRPr="005540BA">
        <w:rPr>
          <w:rFonts w:ascii="Arial" w:hAnsi="Arial" w:cs="Arial"/>
          <w:sz w:val="24"/>
          <w:szCs w:val="20"/>
          <w:lang w:val="es-MX"/>
        </w:rPr>
        <w:t>Desde el punto de vista científico y médico se debe contar con personal médico capacitado, medicamentos y equipo hospitalario aprobado y en buen estado, así como garantizar condiciones sanitarias adecuadas.</w:t>
      </w:r>
    </w:p>
    <w:p w14:paraId="5664D83E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sz w:val="24"/>
          <w:szCs w:val="20"/>
          <w:lang w:val="es-MX"/>
        </w:rPr>
      </w:pPr>
    </w:p>
    <w:p w14:paraId="6E93AA45" w14:textId="2E8F4C9F" w:rsidR="00FC78D8" w:rsidRPr="005540BA" w:rsidRDefault="00FC78D8" w:rsidP="00E54725">
      <w:pPr>
        <w:spacing w:line="360" w:lineRule="auto"/>
        <w:jc w:val="both"/>
        <w:rPr>
          <w:rFonts w:ascii="Arial" w:hAnsi="Arial" w:cs="Arial"/>
        </w:rPr>
      </w:pPr>
      <w:r w:rsidRPr="005540BA">
        <w:rPr>
          <w:rFonts w:ascii="Arial" w:hAnsi="Arial" w:cs="Arial"/>
          <w:sz w:val="24"/>
          <w:szCs w:val="20"/>
        </w:rPr>
        <w:br w:type="page"/>
      </w:r>
    </w:p>
    <w:p w14:paraId="3A757361" w14:textId="77777777" w:rsidR="00424D3E" w:rsidRDefault="00424D3E" w:rsidP="00B95098">
      <w:pPr>
        <w:jc w:val="center"/>
        <w:rPr>
          <w:rFonts w:ascii="Trebuchet MS" w:hAnsi="Trebuchet MS"/>
          <w:b/>
          <w:sz w:val="28"/>
        </w:rPr>
      </w:pPr>
    </w:p>
    <w:p w14:paraId="6995F849" w14:textId="202BAE7C" w:rsidR="00424D3E" w:rsidRPr="005540BA" w:rsidRDefault="005540BA" w:rsidP="005540BA">
      <w:pPr>
        <w:spacing w:line="360" w:lineRule="auto"/>
        <w:jc w:val="both"/>
        <w:rPr>
          <w:rFonts w:ascii="Arial" w:hAnsi="Arial" w:cs="Arial"/>
          <w:b/>
          <w:sz w:val="24"/>
          <w:szCs w:val="20"/>
        </w:rPr>
      </w:pPr>
      <w:r w:rsidRPr="005540BA">
        <w:rPr>
          <w:rFonts w:ascii="Arial" w:hAnsi="Arial" w:cs="Arial"/>
          <w:b/>
          <w:sz w:val="24"/>
          <w:szCs w:val="20"/>
        </w:rPr>
        <w:t>Los derechos en protección a la salud:</w:t>
      </w:r>
    </w:p>
    <w:p w14:paraId="6B07FB01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a una atención médica libre de negligencia.</w:t>
      </w:r>
    </w:p>
    <w:p w14:paraId="2C354B60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a la accesibilidad a los servicios de salud.</w:t>
      </w:r>
    </w:p>
    <w:p w14:paraId="13997F04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a recibir información suficiente, clara, oportuna y veraz sobre los tratamientos médicos o quirúrgicos.</w:t>
      </w:r>
    </w:p>
    <w:p w14:paraId="02AA6777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a decidir libremente sobre su atención médica.</w:t>
      </w:r>
    </w:p>
    <w:p w14:paraId="5E4FFDBF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a la confidencialidad respecto de sus enfermedades y padecimientos.</w:t>
      </w:r>
    </w:p>
    <w:p w14:paraId="3DC66719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a recibir los medicamentos y tratamientos correspondientes a su padecimiento.</w:t>
      </w:r>
    </w:p>
    <w:p w14:paraId="7F6E0B56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a la inmunización universal.</w:t>
      </w:r>
    </w:p>
    <w:p w14:paraId="3BB5D99B" w14:textId="77777777" w:rsidR="005540BA" w:rsidRPr="005540BA" w:rsidRDefault="005540BA" w:rsidP="005540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4"/>
          <w:szCs w:val="20"/>
          <w:lang w:val="es-MX"/>
        </w:rPr>
      </w:pPr>
      <w:r w:rsidRPr="005540BA">
        <w:rPr>
          <w:rFonts w:ascii="Arial" w:hAnsi="Arial" w:cs="Arial"/>
          <w:bCs/>
          <w:sz w:val="24"/>
          <w:szCs w:val="20"/>
          <w:lang w:val="es-MX"/>
        </w:rPr>
        <w:t>Derecho de las mujeres a recibir información para decidir sobre la interrupción legal del embarazo</w:t>
      </w:r>
    </w:p>
    <w:p w14:paraId="706AEFC5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bCs/>
          <w:sz w:val="24"/>
          <w:szCs w:val="20"/>
        </w:rPr>
      </w:pPr>
    </w:p>
    <w:p w14:paraId="7DD9CCBC" w14:textId="51046FA6" w:rsidR="00B95098" w:rsidRPr="003A38E4" w:rsidRDefault="003A38E4" w:rsidP="005540BA">
      <w:pPr>
        <w:jc w:val="both"/>
        <w:rPr>
          <w:rFonts w:ascii="Arial" w:hAnsi="Arial" w:cs="Arial"/>
          <w:b/>
          <w:sz w:val="36"/>
        </w:rPr>
      </w:pPr>
      <w:r w:rsidRPr="003A38E4">
        <w:rPr>
          <w:rFonts w:ascii="Arial" w:hAnsi="Arial" w:cs="Arial"/>
          <w:b/>
          <w:sz w:val="36"/>
        </w:rPr>
        <w:t>Conclusión</w:t>
      </w:r>
    </w:p>
    <w:p w14:paraId="7B99D72C" w14:textId="77777777" w:rsidR="005540BA" w:rsidRPr="005540BA" w:rsidRDefault="005540BA" w:rsidP="005540BA">
      <w:pPr>
        <w:spacing w:line="360" w:lineRule="auto"/>
        <w:jc w:val="both"/>
        <w:rPr>
          <w:rFonts w:ascii="Arial" w:hAnsi="Arial" w:cs="Arial"/>
          <w:bCs/>
          <w:sz w:val="24"/>
          <w:szCs w:val="16"/>
        </w:rPr>
      </w:pPr>
    </w:p>
    <w:p w14:paraId="31C6C9F8" w14:textId="08F6E4CC" w:rsidR="005540BA" w:rsidRDefault="003A38E4" w:rsidP="005540BA">
      <w:pPr>
        <w:spacing w:line="360" w:lineRule="auto"/>
        <w:jc w:val="both"/>
        <w:rPr>
          <w:rFonts w:ascii="Arial" w:hAnsi="Arial" w:cs="Arial"/>
          <w:bCs/>
          <w:sz w:val="24"/>
          <w:szCs w:val="16"/>
        </w:rPr>
      </w:pPr>
      <w:r>
        <w:rPr>
          <w:rFonts w:ascii="Arial" w:hAnsi="Arial" w:cs="Arial"/>
          <w:bCs/>
          <w:sz w:val="24"/>
          <w:szCs w:val="16"/>
        </w:rPr>
        <w:t>L</w:t>
      </w:r>
      <w:r w:rsidR="005540BA" w:rsidRPr="005540BA">
        <w:rPr>
          <w:rFonts w:ascii="Arial" w:hAnsi="Arial" w:cs="Arial"/>
          <w:bCs/>
          <w:sz w:val="24"/>
          <w:szCs w:val="16"/>
        </w:rPr>
        <w:t xml:space="preserve">a atención primaria de salud (APS) es un sistema fundamental que orienta sus estructuras y funciones hacia la equidad y la solidaridad social, asegurando el derecho de cada individuo a alcanzar el máximo grado de salud posible, sin distinción de raza, religión, ideología política o condición económica. En este contexto, la promoción y protección de la salud </w:t>
      </w:r>
      <w:r>
        <w:rPr>
          <w:rFonts w:ascii="Arial" w:hAnsi="Arial" w:cs="Arial"/>
          <w:bCs/>
          <w:sz w:val="24"/>
          <w:szCs w:val="16"/>
        </w:rPr>
        <w:t>son</w:t>
      </w:r>
      <w:r w:rsidR="005540BA" w:rsidRPr="005540BA">
        <w:rPr>
          <w:rFonts w:ascii="Arial" w:hAnsi="Arial" w:cs="Arial"/>
          <w:bCs/>
          <w:sz w:val="24"/>
          <w:szCs w:val="16"/>
        </w:rPr>
        <w:t xml:space="preserve"> componentes clave dentro de la APS, tal como lo establece la OMS. La promoción de la salud busca capacitar a las personas y comunidades para tomar control de su bienestar, fomentando estilos de vida saludables y reduciendo los riesgos asociados a enfermedades. Por su parte, la protección de la salud se enfoca en la implementación de políticas y medidas que salvaguarden a las poblaciones frente a amenazas sanitarias. Ambas estrategias, respaldadas por las Naciones Unidas y otras organizaciones internacionales, son esenciales para reducir las desigualdades en salud y garantizar el acceso equitativo a servicios preventivos y de atención.</w:t>
      </w:r>
    </w:p>
    <w:p w14:paraId="6C4D6609" w14:textId="77777777" w:rsidR="003A38E4" w:rsidRP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578FFF6D" w14:textId="77777777" w:rsidR="003A38E4" w:rsidRDefault="003A38E4" w:rsidP="003A38E4">
      <w:pPr>
        <w:rPr>
          <w:rFonts w:ascii="Arial" w:hAnsi="Arial" w:cs="Arial"/>
          <w:bCs/>
          <w:sz w:val="24"/>
          <w:szCs w:val="16"/>
        </w:rPr>
      </w:pPr>
    </w:p>
    <w:p w14:paraId="1962EB9B" w14:textId="77777777" w:rsid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17954C6F" w14:textId="77777777" w:rsid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45387AEF" w14:textId="77777777" w:rsid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47B32955" w14:textId="77777777" w:rsid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69432105" w14:textId="77777777" w:rsid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4B793330" w14:textId="77777777" w:rsid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3D92B381" w14:textId="77777777" w:rsidR="003A38E4" w:rsidRDefault="003A38E4" w:rsidP="003A38E4">
      <w:pPr>
        <w:rPr>
          <w:rFonts w:ascii="Arial" w:hAnsi="Arial" w:cs="Arial"/>
          <w:sz w:val="24"/>
          <w:szCs w:val="16"/>
        </w:rPr>
      </w:pPr>
    </w:p>
    <w:p w14:paraId="6F33155F" w14:textId="12F3B07E" w:rsidR="003A38E4" w:rsidRDefault="003A38E4" w:rsidP="003A38E4">
      <w:pPr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lastRenderedPageBreak/>
        <w:t>Bibliografia</w:t>
      </w:r>
      <w:proofErr w:type="spellEnd"/>
    </w:p>
    <w:p w14:paraId="318DCAC7" w14:textId="77777777" w:rsidR="003A38E4" w:rsidRPr="003A38E4" w:rsidRDefault="003A38E4" w:rsidP="003A38E4">
      <w:pPr>
        <w:rPr>
          <w:rFonts w:ascii="Arial" w:hAnsi="Arial" w:cs="Arial"/>
          <w:sz w:val="36"/>
          <w:szCs w:val="36"/>
        </w:rPr>
      </w:pPr>
    </w:p>
    <w:p w14:paraId="19065D41" w14:textId="77777777" w:rsidR="003A38E4" w:rsidRDefault="003A38E4" w:rsidP="003A38E4">
      <w:pPr>
        <w:rPr>
          <w:rFonts w:ascii="Arial" w:hAnsi="Arial" w:cs="Arial"/>
          <w:b/>
          <w:bCs/>
          <w:sz w:val="36"/>
          <w:szCs w:val="36"/>
        </w:rPr>
      </w:pPr>
    </w:p>
    <w:p w14:paraId="2FA5323F" w14:textId="77777777" w:rsidR="0057298A" w:rsidRPr="0057298A" w:rsidRDefault="0057298A" w:rsidP="0057298A">
      <w:pPr>
        <w:numPr>
          <w:ilvl w:val="0"/>
          <w:numId w:val="7"/>
        </w:numPr>
        <w:rPr>
          <w:rFonts w:ascii="Arial" w:hAnsi="Arial" w:cs="Arial"/>
          <w:sz w:val="32"/>
          <w:szCs w:val="32"/>
          <w:lang w:val="es-MX"/>
        </w:rPr>
      </w:pPr>
      <w:proofErr w:type="spellStart"/>
      <w:r w:rsidRPr="0057298A">
        <w:rPr>
          <w:rFonts w:ascii="Arial" w:hAnsi="Arial" w:cs="Arial"/>
          <w:sz w:val="32"/>
          <w:szCs w:val="32"/>
          <w:lang w:val="es-MX"/>
        </w:rPr>
        <w:t>Vignolo</w:t>
      </w:r>
      <w:proofErr w:type="spellEnd"/>
      <w:r w:rsidRPr="0057298A">
        <w:rPr>
          <w:rFonts w:ascii="Arial" w:hAnsi="Arial" w:cs="Arial"/>
          <w:sz w:val="32"/>
          <w:szCs w:val="32"/>
          <w:lang w:val="es-MX"/>
        </w:rPr>
        <w:t xml:space="preserve"> J. (y otros). (2011). </w:t>
      </w:r>
      <w:r w:rsidRPr="0057298A">
        <w:rPr>
          <w:rFonts w:ascii="Arial" w:hAnsi="Arial" w:cs="Arial"/>
          <w:i/>
          <w:iCs/>
          <w:sz w:val="32"/>
          <w:szCs w:val="32"/>
          <w:lang w:val="es-MX"/>
        </w:rPr>
        <w:t>Niveles de atención, de prevención y atención primaria de la salud</w:t>
      </w:r>
      <w:r w:rsidRPr="0057298A">
        <w:rPr>
          <w:rFonts w:ascii="Arial" w:hAnsi="Arial" w:cs="Arial"/>
          <w:sz w:val="32"/>
          <w:szCs w:val="32"/>
          <w:lang w:val="es-MX"/>
        </w:rPr>
        <w:t>. Archivos de Medicina Interna. [</w:t>
      </w:r>
      <w:proofErr w:type="spellStart"/>
      <w:r w:rsidRPr="0057298A">
        <w:rPr>
          <w:rFonts w:ascii="Arial" w:hAnsi="Arial" w:cs="Arial"/>
          <w:sz w:val="32"/>
          <w:szCs w:val="32"/>
          <w:lang w:val="es-MX"/>
        </w:rPr>
        <w:t>Pagina</w:t>
      </w:r>
      <w:proofErr w:type="spellEnd"/>
      <w:r w:rsidRPr="0057298A">
        <w:rPr>
          <w:rFonts w:ascii="Arial" w:hAnsi="Arial" w:cs="Arial"/>
          <w:sz w:val="32"/>
          <w:szCs w:val="32"/>
          <w:lang w:val="es-MX"/>
        </w:rPr>
        <w:t xml:space="preserve"> web]. SciELO. Uruguay.</w:t>
      </w:r>
    </w:p>
    <w:p w14:paraId="6F855986" w14:textId="77777777" w:rsidR="0057298A" w:rsidRPr="0057298A" w:rsidRDefault="00000000" w:rsidP="0057298A">
      <w:pPr>
        <w:rPr>
          <w:rFonts w:ascii="Arial" w:hAnsi="Arial" w:cs="Arial"/>
          <w:sz w:val="32"/>
          <w:szCs w:val="32"/>
          <w:lang w:val="es-MX"/>
        </w:rPr>
      </w:pPr>
      <w:hyperlink r:id="rId6" w:history="1">
        <w:r w:rsidR="0057298A" w:rsidRPr="0057298A">
          <w:rPr>
            <w:rStyle w:val="Hipervnculo"/>
            <w:rFonts w:ascii="Arial" w:hAnsi="Arial" w:cs="Arial"/>
            <w:sz w:val="32"/>
            <w:szCs w:val="32"/>
            <w:lang w:val="es-MX"/>
          </w:rPr>
          <w:t>http://www.scielo.edu.uy/scielo.php?script=sci_arttext&amp;pid=S1688-423X2011000100003</w:t>
        </w:r>
      </w:hyperlink>
    </w:p>
    <w:p w14:paraId="69C8642F" w14:textId="77777777" w:rsidR="0057298A" w:rsidRPr="0057298A" w:rsidRDefault="0057298A" w:rsidP="0057298A">
      <w:pPr>
        <w:numPr>
          <w:ilvl w:val="0"/>
          <w:numId w:val="8"/>
        </w:numPr>
        <w:rPr>
          <w:rFonts w:ascii="Arial" w:hAnsi="Arial" w:cs="Arial"/>
          <w:sz w:val="32"/>
          <w:szCs w:val="32"/>
          <w:lang w:val="es-MX"/>
        </w:rPr>
      </w:pPr>
      <w:r w:rsidRPr="0057298A">
        <w:rPr>
          <w:rFonts w:ascii="Arial" w:hAnsi="Arial" w:cs="Arial"/>
          <w:sz w:val="32"/>
          <w:szCs w:val="32"/>
          <w:lang w:val="es-MX"/>
        </w:rPr>
        <w:t xml:space="preserve">IX Derecho a la Protección a la Salud. [PDF]. Biblioteca </w:t>
      </w:r>
      <w:proofErr w:type="spellStart"/>
      <w:r w:rsidRPr="0057298A">
        <w:rPr>
          <w:rFonts w:ascii="Arial" w:hAnsi="Arial" w:cs="Arial"/>
          <w:sz w:val="32"/>
          <w:szCs w:val="32"/>
          <w:lang w:val="es-MX"/>
        </w:rPr>
        <w:t>Juridica</w:t>
      </w:r>
      <w:proofErr w:type="spellEnd"/>
      <w:r w:rsidRPr="0057298A">
        <w:rPr>
          <w:rFonts w:ascii="Arial" w:hAnsi="Arial" w:cs="Arial"/>
          <w:sz w:val="32"/>
          <w:szCs w:val="32"/>
          <w:lang w:val="es-MX"/>
        </w:rPr>
        <w:t xml:space="preserve"> Virtual de </w:t>
      </w:r>
      <w:proofErr w:type="spellStart"/>
      <w:r w:rsidRPr="0057298A">
        <w:rPr>
          <w:rFonts w:ascii="Arial" w:hAnsi="Arial" w:cs="Arial"/>
          <w:sz w:val="32"/>
          <w:szCs w:val="32"/>
          <w:lang w:val="es-MX"/>
        </w:rPr>
        <w:t>Investigacion</w:t>
      </w:r>
      <w:proofErr w:type="spellEnd"/>
      <w:r w:rsidRPr="0057298A">
        <w:rPr>
          <w:rFonts w:ascii="Arial" w:hAnsi="Arial" w:cs="Arial"/>
          <w:sz w:val="32"/>
          <w:szCs w:val="32"/>
          <w:lang w:val="es-MX"/>
        </w:rPr>
        <w:t xml:space="preserve"> de la UNAM.</w:t>
      </w:r>
    </w:p>
    <w:p w14:paraId="47B85EAD" w14:textId="77777777" w:rsidR="0057298A" w:rsidRPr="0057298A" w:rsidRDefault="00000000" w:rsidP="0057298A">
      <w:pPr>
        <w:rPr>
          <w:rFonts w:ascii="Arial" w:hAnsi="Arial" w:cs="Arial"/>
          <w:sz w:val="32"/>
          <w:szCs w:val="32"/>
          <w:lang w:val="es-MX"/>
        </w:rPr>
      </w:pPr>
      <w:hyperlink r:id="rId7" w:history="1">
        <w:r w:rsidR="0057298A" w:rsidRPr="0057298A">
          <w:rPr>
            <w:rStyle w:val="Hipervnculo"/>
            <w:rFonts w:ascii="Arial" w:hAnsi="Arial" w:cs="Arial"/>
            <w:sz w:val="32"/>
            <w:szCs w:val="32"/>
            <w:lang w:val="es-MX"/>
          </w:rPr>
          <w:t>https://archivos.juridicas.unam.mx/www/bjv/libros/10/4974/12.pdf</w:t>
        </w:r>
      </w:hyperlink>
    </w:p>
    <w:p w14:paraId="042C4471" w14:textId="77777777" w:rsidR="003A38E4" w:rsidRPr="0057298A" w:rsidRDefault="003A38E4" w:rsidP="003A38E4">
      <w:pPr>
        <w:rPr>
          <w:rFonts w:ascii="Arial" w:hAnsi="Arial" w:cs="Arial"/>
          <w:sz w:val="32"/>
          <w:szCs w:val="32"/>
        </w:rPr>
      </w:pPr>
    </w:p>
    <w:sectPr w:rsidR="003A38E4" w:rsidRPr="0057298A" w:rsidSect="00B21932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DCC"/>
    <w:multiLevelType w:val="hybridMultilevel"/>
    <w:tmpl w:val="39EA31D8"/>
    <w:lvl w:ilvl="0" w:tplc="96C6A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89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29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2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0E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8E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26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40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3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9F4"/>
    <w:multiLevelType w:val="hybridMultilevel"/>
    <w:tmpl w:val="9314D262"/>
    <w:lvl w:ilvl="0" w:tplc="A9CA3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81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04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C8A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0EA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0F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40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FC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2F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169"/>
    <w:multiLevelType w:val="hybridMultilevel"/>
    <w:tmpl w:val="F79233C2"/>
    <w:lvl w:ilvl="0" w:tplc="0F3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4C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47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5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2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ED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A5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81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E42820"/>
    <w:multiLevelType w:val="hybridMultilevel"/>
    <w:tmpl w:val="306AC3E8"/>
    <w:lvl w:ilvl="0" w:tplc="14427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8D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3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5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0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AF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5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EC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AE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121497"/>
    <w:multiLevelType w:val="hybridMultilevel"/>
    <w:tmpl w:val="231099F0"/>
    <w:lvl w:ilvl="0" w:tplc="F7ECD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600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E8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C2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C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A7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6E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EC1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00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F23D7"/>
    <w:multiLevelType w:val="hybridMultilevel"/>
    <w:tmpl w:val="591C0C00"/>
    <w:lvl w:ilvl="0" w:tplc="DD0E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C8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E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4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87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D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0D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69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5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533FC8"/>
    <w:multiLevelType w:val="hybridMultilevel"/>
    <w:tmpl w:val="32622A76"/>
    <w:lvl w:ilvl="0" w:tplc="64488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8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4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07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C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2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8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4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3D2BD1"/>
    <w:multiLevelType w:val="hybridMultilevel"/>
    <w:tmpl w:val="32A65B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87558">
    <w:abstractNumId w:val="5"/>
  </w:num>
  <w:num w:numId="2" w16cid:durableId="1742026014">
    <w:abstractNumId w:val="7"/>
  </w:num>
  <w:num w:numId="3" w16cid:durableId="114718999">
    <w:abstractNumId w:val="4"/>
  </w:num>
  <w:num w:numId="4" w16cid:durableId="92670643">
    <w:abstractNumId w:val="6"/>
  </w:num>
  <w:num w:numId="5" w16cid:durableId="1176262655">
    <w:abstractNumId w:val="2"/>
  </w:num>
  <w:num w:numId="6" w16cid:durableId="1019818817">
    <w:abstractNumId w:val="3"/>
  </w:num>
  <w:num w:numId="7" w16cid:durableId="240678321">
    <w:abstractNumId w:val="0"/>
  </w:num>
  <w:num w:numId="8" w16cid:durableId="142596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B"/>
    <w:rsid w:val="000375E1"/>
    <w:rsid w:val="000D1EE3"/>
    <w:rsid w:val="0022731E"/>
    <w:rsid w:val="002F007D"/>
    <w:rsid w:val="003A38E4"/>
    <w:rsid w:val="00424D3E"/>
    <w:rsid w:val="00505FBF"/>
    <w:rsid w:val="005540BA"/>
    <w:rsid w:val="0057298A"/>
    <w:rsid w:val="00621433"/>
    <w:rsid w:val="007000AC"/>
    <w:rsid w:val="00793AE1"/>
    <w:rsid w:val="007B572B"/>
    <w:rsid w:val="00803E6A"/>
    <w:rsid w:val="008A0944"/>
    <w:rsid w:val="00927F39"/>
    <w:rsid w:val="00A42DEF"/>
    <w:rsid w:val="00A54098"/>
    <w:rsid w:val="00A66CCC"/>
    <w:rsid w:val="00A97551"/>
    <w:rsid w:val="00B21932"/>
    <w:rsid w:val="00B82ECF"/>
    <w:rsid w:val="00B95098"/>
    <w:rsid w:val="00BB2155"/>
    <w:rsid w:val="00E54725"/>
    <w:rsid w:val="00E85121"/>
    <w:rsid w:val="00E95D42"/>
    <w:rsid w:val="00EB5332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EBCF"/>
  <w15:docId w15:val="{79A2ECD8-3CC3-48AB-A6C3-D732E6F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D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47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98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5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7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os.juridicas.unam.mx/www/bjv/libros/10/4974/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edu.uy/scielo.php?script=sci_arttext&amp;pid=S1688-423X20110001000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FCQ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Jeck</dc:creator>
  <cp:keywords/>
  <dc:description/>
  <cp:lastModifiedBy>Angel</cp:lastModifiedBy>
  <cp:revision>8</cp:revision>
  <dcterms:created xsi:type="dcterms:W3CDTF">2024-10-25T01:18:00Z</dcterms:created>
  <dcterms:modified xsi:type="dcterms:W3CDTF">2024-11-06T00:01:00Z</dcterms:modified>
</cp:coreProperties>
</file>