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5C70" w14:textId="32A84B04" w:rsid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ECF68E" wp14:editId="7D5296F1">
            <wp:simplePos x="0" y="0"/>
            <wp:positionH relativeFrom="margin">
              <wp:align>right</wp:align>
            </wp:positionH>
            <wp:positionV relativeFrom="paragraph">
              <wp:posOffset>60290</wp:posOffset>
            </wp:positionV>
            <wp:extent cx="1125415" cy="1125415"/>
            <wp:effectExtent l="0" t="0" r="0" b="0"/>
            <wp:wrapNone/>
            <wp:docPr id="17287196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5" cy="112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83BDB5" wp14:editId="7FE2171D">
            <wp:simplePos x="0" y="0"/>
            <wp:positionH relativeFrom="margin">
              <wp:align>left</wp:align>
            </wp:positionH>
            <wp:positionV relativeFrom="paragraph">
              <wp:posOffset>60290</wp:posOffset>
            </wp:positionV>
            <wp:extent cx="2971904" cy="1085222"/>
            <wp:effectExtent l="0" t="0" r="0" b="635"/>
            <wp:wrapNone/>
            <wp:docPr id="162064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04" cy="1085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D07C5" w14:textId="1AF57EDF" w:rsid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32"/>
          <w:szCs w:val="32"/>
        </w:rPr>
      </w:pPr>
    </w:p>
    <w:p w14:paraId="143E0A37" w14:textId="6D79BE0C" w:rsid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32"/>
          <w:szCs w:val="32"/>
        </w:rPr>
      </w:pPr>
    </w:p>
    <w:p w14:paraId="3452A994" w14:textId="3C8DAE18" w:rsid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32"/>
          <w:szCs w:val="32"/>
        </w:rPr>
      </w:pPr>
    </w:p>
    <w:p w14:paraId="5A5A2196" w14:textId="660CD1E0" w:rsid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32"/>
          <w:szCs w:val="32"/>
        </w:rPr>
      </w:pPr>
    </w:p>
    <w:p w14:paraId="1D93C726" w14:textId="45369F97" w:rsid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noProof/>
          <w:spacing w:val="-2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A3322A1" wp14:editId="60E52633">
            <wp:simplePos x="0" y="0"/>
            <wp:positionH relativeFrom="column">
              <wp:posOffset>1255674</wp:posOffset>
            </wp:positionH>
            <wp:positionV relativeFrom="paragraph">
              <wp:posOffset>200129</wp:posOffset>
            </wp:positionV>
            <wp:extent cx="5809615" cy="7771130"/>
            <wp:effectExtent l="0" t="0" r="635" b="1270"/>
            <wp:wrapNone/>
            <wp:docPr id="2034843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777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B0B060" w14:textId="7C63D949" w:rsidR="00EA6DA3" w:rsidRP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32"/>
          <w:szCs w:val="32"/>
        </w:rPr>
      </w:pPr>
      <w:r w:rsidRPr="00EA6DA3">
        <w:rPr>
          <w:rFonts w:ascii="Arial" w:hAnsi="Arial" w:cs="Arial"/>
          <w:b/>
          <w:sz w:val="32"/>
          <w:szCs w:val="32"/>
        </w:rPr>
        <w:t>UNIVERSIDAD DEL SUR</w:t>
      </w:r>
    </w:p>
    <w:p w14:paraId="726AFEEE" w14:textId="77777777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/>
          <w:sz w:val="28"/>
          <w:szCs w:val="28"/>
        </w:rPr>
      </w:pPr>
    </w:p>
    <w:p w14:paraId="0DC2E92D" w14:textId="77777777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/>
          <w:spacing w:val="3"/>
          <w:sz w:val="28"/>
          <w:szCs w:val="28"/>
        </w:rPr>
      </w:pPr>
      <w:r w:rsidRPr="00EA6DA3">
        <w:rPr>
          <w:rFonts w:ascii="Arial" w:hAnsi="Arial" w:cs="Arial"/>
          <w:b/>
          <w:sz w:val="28"/>
          <w:szCs w:val="28"/>
        </w:rPr>
        <w:t>Campus</w:t>
      </w:r>
      <w:r w:rsidRPr="00EA6DA3">
        <w:rPr>
          <w:rFonts w:ascii="Arial" w:hAnsi="Arial" w:cs="Arial"/>
          <w:b/>
          <w:spacing w:val="3"/>
          <w:sz w:val="28"/>
          <w:szCs w:val="28"/>
        </w:rPr>
        <w:t>:</w:t>
      </w:r>
    </w:p>
    <w:p w14:paraId="09781F5E" w14:textId="77777777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  <w:r w:rsidRPr="00EA6DA3">
        <w:rPr>
          <w:rFonts w:ascii="Arial" w:hAnsi="Arial" w:cs="Arial"/>
          <w:bCs/>
          <w:sz w:val="28"/>
          <w:szCs w:val="28"/>
        </w:rPr>
        <w:t>Berriozábal, Chiapas</w:t>
      </w:r>
    </w:p>
    <w:p w14:paraId="60581F94" w14:textId="2AAD3269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</w:p>
    <w:p w14:paraId="2FC06714" w14:textId="6AD56AE2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  <w:r w:rsidRPr="00EA6DA3">
        <w:rPr>
          <w:rFonts w:ascii="Arial" w:hAnsi="Arial" w:cs="Arial"/>
          <w:b/>
          <w:sz w:val="28"/>
          <w:szCs w:val="28"/>
        </w:rPr>
        <w:t>Carrera:</w:t>
      </w:r>
    </w:p>
    <w:p w14:paraId="033F3CD7" w14:textId="7CAB56B8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  <w:r w:rsidRPr="00EA6DA3">
        <w:rPr>
          <w:rFonts w:ascii="Arial" w:hAnsi="Arial" w:cs="Arial"/>
          <w:bCs/>
          <w:sz w:val="28"/>
          <w:szCs w:val="28"/>
        </w:rPr>
        <w:t>Medicina Humana</w:t>
      </w:r>
    </w:p>
    <w:p w14:paraId="2C0DBE07" w14:textId="1A8A0077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</w:p>
    <w:p w14:paraId="263FD5AF" w14:textId="2B21B287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/>
          <w:sz w:val="28"/>
          <w:szCs w:val="28"/>
        </w:rPr>
      </w:pPr>
      <w:r w:rsidRPr="00EA6DA3">
        <w:rPr>
          <w:rFonts w:ascii="Arial" w:hAnsi="Arial" w:cs="Arial"/>
          <w:b/>
          <w:sz w:val="28"/>
          <w:szCs w:val="28"/>
        </w:rPr>
        <w:t xml:space="preserve">Semestre: </w:t>
      </w:r>
    </w:p>
    <w:p w14:paraId="79F55B75" w14:textId="20B38583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  <w:r w:rsidRPr="00EA6DA3">
        <w:rPr>
          <w:rFonts w:ascii="Arial" w:hAnsi="Arial" w:cs="Arial"/>
          <w:bCs/>
          <w:sz w:val="28"/>
          <w:szCs w:val="28"/>
        </w:rPr>
        <w:t>1</w:t>
      </w:r>
    </w:p>
    <w:p w14:paraId="54C2A33F" w14:textId="4837C15C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</w:p>
    <w:p w14:paraId="49FD7896" w14:textId="2FFC998F" w:rsidR="00EA6DA3" w:rsidRPr="00EA6DA3" w:rsidRDefault="00EA6DA3" w:rsidP="00EA6DA3">
      <w:pPr>
        <w:spacing w:before="2"/>
        <w:ind w:left="3416" w:right="3181"/>
        <w:jc w:val="center"/>
        <w:rPr>
          <w:rFonts w:ascii="Arial" w:hAnsi="Arial" w:cs="Arial"/>
          <w:bCs/>
          <w:sz w:val="28"/>
          <w:szCs w:val="28"/>
        </w:rPr>
      </w:pPr>
      <w:r w:rsidRPr="00EA6DA3">
        <w:rPr>
          <w:rFonts w:ascii="Arial" w:hAnsi="Arial" w:cs="Arial"/>
          <w:b/>
          <w:sz w:val="28"/>
          <w:szCs w:val="28"/>
        </w:rPr>
        <w:t>Materia:</w:t>
      </w:r>
    </w:p>
    <w:p w14:paraId="1C07DE06" w14:textId="017C9E5B" w:rsidR="00EA6DA3" w:rsidRPr="00EA6DA3" w:rsidRDefault="00A346FB" w:rsidP="00EA6DA3">
      <w:pPr>
        <w:ind w:left="2731" w:right="250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Salud Pública</w:t>
      </w:r>
    </w:p>
    <w:p w14:paraId="74DD4340" w14:textId="1B7BC569" w:rsidR="00EA6DA3" w:rsidRPr="00EA6DA3" w:rsidRDefault="00EA6DA3" w:rsidP="00EA6DA3">
      <w:pPr>
        <w:spacing w:before="88"/>
        <w:ind w:right="2499"/>
        <w:rPr>
          <w:rFonts w:ascii="Arial" w:hAnsi="Arial" w:cs="Arial"/>
          <w:b/>
          <w:sz w:val="28"/>
          <w:szCs w:val="28"/>
        </w:rPr>
      </w:pPr>
    </w:p>
    <w:p w14:paraId="6769DB7E" w14:textId="216E24B5" w:rsidR="00EA6DA3" w:rsidRPr="00EA6DA3" w:rsidRDefault="00EA6DA3" w:rsidP="00EA6DA3">
      <w:pPr>
        <w:ind w:left="2732" w:right="2499"/>
        <w:jc w:val="center"/>
        <w:rPr>
          <w:rFonts w:ascii="Arial" w:hAnsi="Arial" w:cs="Arial"/>
          <w:b/>
          <w:sz w:val="28"/>
          <w:szCs w:val="28"/>
        </w:rPr>
      </w:pPr>
      <w:r w:rsidRPr="00EA6DA3">
        <w:rPr>
          <w:rFonts w:ascii="Arial" w:hAnsi="Arial" w:cs="Arial"/>
          <w:b/>
          <w:sz w:val="28"/>
          <w:szCs w:val="28"/>
        </w:rPr>
        <w:t>Tema:</w:t>
      </w:r>
    </w:p>
    <w:p w14:paraId="63166AAE" w14:textId="4BAF6FC5" w:rsidR="00EA6DA3" w:rsidRPr="00EA6DA3" w:rsidRDefault="00EA6DA3" w:rsidP="00EA6DA3">
      <w:pPr>
        <w:spacing w:before="4"/>
        <w:ind w:left="2732" w:right="2501"/>
        <w:jc w:val="center"/>
        <w:rPr>
          <w:rFonts w:ascii="Arial" w:hAnsi="Arial" w:cs="Arial"/>
          <w:bCs/>
          <w:sz w:val="28"/>
          <w:szCs w:val="28"/>
        </w:rPr>
      </w:pPr>
      <w:r w:rsidRPr="00EA6DA3">
        <w:rPr>
          <w:rFonts w:ascii="Arial" w:hAnsi="Arial" w:cs="Arial"/>
          <w:bCs/>
          <w:sz w:val="28"/>
          <w:szCs w:val="28"/>
        </w:rPr>
        <w:t>“</w:t>
      </w:r>
      <w:r w:rsidR="00A346FB">
        <w:rPr>
          <w:rFonts w:ascii="Arial" w:hAnsi="Arial" w:cs="Arial"/>
          <w:bCs/>
          <w:sz w:val="28"/>
          <w:szCs w:val="28"/>
        </w:rPr>
        <w:t>Resumen de la Historia Natural de la enfermedad</w:t>
      </w:r>
      <w:r w:rsidRPr="00EA6DA3">
        <w:rPr>
          <w:rFonts w:ascii="Arial" w:hAnsi="Arial" w:cs="Arial"/>
          <w:bCs/>
          <w:sz w:val="28"/>
          <w:szCs w:val="28"/>
        </w:rPr>
        <w:t>"</w:t>
      </w:r>
    </w:p>
    <w:p w14:paraId="6E07835A" w14:textId="5B78BCC6" w:rsidR="00EA6DA3" w:rsidRP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28"/>
          <w:szCs w:val="28"/>
        </w:rPr>
      </w:pPr>
    </w:p>
    <w:p w14:paraId="31471459" w14:textId="59557384" w:rsidR="00EA6DA3" w:rsidRPr="00EA6DA3" w:rsidRDefault="00EA6DA3" w:rsidP="00EA6DA3">
      <w:pPr>
        <w:spacing w:before="88"/>
        <w:ind w:left="2732" w:right="2499"/>
        <w:jc w:val="center"/>
        <w:rPr>
          <w:rFonts w:ascii="Arial" w:hAnsi="Arial" w:cs="Arial"/>
          <w:b/>
          <w:sz w:val="28"/>
          <w:szCs w:val="28"/>
        </w:rPr>
      </w:pPr>
      <w:r w:rsidRPr="00EA6DA3">
        <w:rPr>
          <w:rFonts w:ascii="Arial" w:hAnsi="Arial" w:cs="Arial"/>
          <w:b/>
          <w:sz w:val="28"/>
          <w:szCs w:val="28"/>
        </w:rPr>
        <w:t>Nombre del estudiante:</w:t>
      </w:r>
    </w:p>
    <w:p w14:paraId="0EE46F87" w14:textId="648D36C9" w:rsidR="00EA6DA3" w:rsidRPr="00EA6DA3" w:rsidRDefault="00EA6DA3" w:rsidP="00EA6DA3">
      <w:pPr>
        <w:spacing w:before="3"/>
        <w:ind w:left="2731" w:right="2501"/>
        <w:jc w:val="center"/>
        <w:rPr>
          <w:rFonts w:ascii="Arial" w:hAnsi="Arial" w:cs="Arial"/>
          <w:bCs/>
          <w:sz w:val="28"/>
          <w:szCs w:val="28"/>
        </w:rPr>
      </w:pPr>
      <w:r w:rsidRPr="00EA6DA3">
        <w:rPr>
          <w:rFonts w:ascii="Arial" w:hAnsi="Arial" w:cs="Arial"/>
          <w:bCs/>
          <w:sz w:val="28"/>
          <w:szCs w:val="28"/>
        </w:rPr>
        <w:t>Ana</w:t>
      </w:r>
      <w:r w:rsidRPr="00EA6DA3">
        <w:rPr>
          <w:rFonts w:ascii="Arial" w:hAnsi="Arial" w:cs="Arial"/>
          <w:bCs/>
          <w:spacing w:val="3"/>
          <w:sz w:val="28"/>
          <w:szCs w:val="28"/>
        </w:rPr>
        <w:t xml:space="preserve"> </w:t>
      </w:r>
      <w:r w:rsidRPr="00EA6DA3">
        <w:rPr>
          <w:rFonts w:ascii="Arial" w:hAnsi="Arial" w:cs="Arial"/>
          <w:bCs/>
          <w:sz w:val="28"/>
          <w:szCs w:val="28"/>
        </w:rPr>
        <w:t>Melissa Rivera Gordillo</w:t>
      </w:r>
    </w:p>
    <w:p w14:paraId="6C9755AC" w14:textId="409CA581" w:rsidR="00EA6DA3" w:rsidRPr="00EA6DA3" w:rsidRDefault="00EA6DA3" w:rsidP="00EA6DA3">
      <w:pPr>
        <w:spacing w:before="3"/>
        <w:ind w:left="2731" w:right="2501"/>
        <w:jc w:val="center"/>
        <w:rPr>
          <w:rFonts w:ascii="Arial" w:hAnsi="Arial" w:cs="Arial"/>
          <w:bCs/>
          <w:sz w:val="28"/>
          <w:szCs w:val="28"/>
        </w:rPr>
      </w:pPr>
    </w:p>
    <w:p w14:paraId="04BE9A34" w14:textId="68AE7829" w:rsidR="00EA6DA3" w:rsidRPr="00EA6DA3" w:rsidRDefault="00EA6DA3" w:rsidP="00EA6DA3">
      <w:pPr>
        <w:pStyle w:val="Textoindependiente"/>
        <w:spacing w:before="2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1F2E73F7" w14:textId="01AA4DE2" w:rsidR="00EA6DA3" w:rsidRPr="00EA6DA3" w:rsidRDefault="00EA6DA3" w:rsidP="00EA6DA3">
      <w:pPr>
        <w:ind w:left="2732" w:right="2500"/>
        <w:jc w:val="center"/>
        <w:rPr>
          <w:rFonts w:ascii="Arial" w:hAnsi="Arial" w:cs="Arial"/>
          <w:b/>
          <w:sz w:val="28"/>
          <w:szCs w:val="28"/>
        </w:rPr>
      </w:pPr>
      <w:r w:rsidRPr="00EA6DA3">
        <w:rPr>
          <w:rFonts w:ascii="Arial" w:hAnsi="Arial" w:cs="Arial"/>
          <w:b/>
          <w:sz w:val="28"/>
          <w:szCs w:val="28"/>
        </w:rPr>
        <w:t>Docente:</w:t>
      </w:r>
    </w:p>
    <w:p w14:paraId="26D0D1BF" w14:textId="158E63B5" w:rsidR="00F87E4A" w:rsidRDefault="00EA6DA3" w:rsidP="00EA6DA3">
      <w:pPr>
        <w:spacing w:before="4"/>
        <w:ind w:left="2732" w:right="2501"/>
        <w:jc w:val="center"/>
        <w:rPr>
          <w:rFonts w:ascii="Arial" w:hAnsi="Arial" w:cs="Arial"/>
          <w:bCs/>
          <w:spacing w:val="-2"/>
          <w:sz w:val="28"/>
          <w:szCs w:val="28"/>
        </w:rPr>
      </w:pPr>
      <w:r w:rsidRPr="00EA6DA3">
        <w:rPr>
          <w:rFonts w:ascii="Arial" w:hAnsi="Arial" w:cs="Arial"/>
          <w:bCs/>
          <w:spacing w:val="-2"/>
          <w:sz w:val="28"/>
          <w:szCs w:val="28"/>
        </w:rPr>
        <w:t>Dr.</w:t>
      </w:r>
      <w:r w:rsidRPr="00EA6DA3">
        <w:rPr>
          <w:rFonts w:ascii="Arial" w:hAnsi="Arial" w:cs="Arial"/>
          <w:bCs/>
          <w:spacing w:val="-19"/>
          <w:sz w:val="28"/>
          <w:szCs w:val="28"/>
        </w:rPr>
        <w:t xml:space="preserve"> </w:t>
      </w:r>
      <w:r w:rsidRPr="00EA6DA3">
        <w:rPr>
          <w:rFonts w:ascii="Arial" w:hAnsi="Arial" w:cs="Arial"/>
          <w:bCs/>
          <w:spacing w:val="-2"/>
          <w:sz w:val="28"/>
          <w:szCs w:val="28"/>
        </w:rPr>
        <w:t>Axel Guadalupe</w:t>
      </w:r>
    </w:p>
    <w:p w14:paraId="4EA49E5C" w14:textId="77777777" w:rsidR="00EA6DA3" w:rsidRDefault="00EA6DA3" w:rsidP="00EA6DA3">
      <w:pPr>
        <w:spacing w:before="4"/>
        <w:ind w:left="2732" w:right="2501"/>
        <w:jc w:val="center"/>
        <w:rPr>
          <w:rFonts w:ascii="Arial" w:hAnsi="Arial" w:cs="Arial"/>
          <w:bCs/>
          <w:spacing w:val="-2"/>
          <w:sz w:val="28"/>
          <w:szCs w:val="28"/>
        </w:rPr>
      </w:pPr>
    </w:p>
    <w:p w14:paraId="10D3ACEA" w14:textId="6A5F4E39" w:rsidR="00EA6DA3" w:rsidRPr="00EA6DA3" w:rsidRDefault="00EA6DA3" w:rsidP="00EA6DA3">
      <w:pPr>
        <w:spacing w:before="4"/>
        <w:ind w:left="2732" w:right="2501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EA6DA3">
        <w:rPr>
          <w:rFonts w:ascii="Arial" w:hAnsi="Arial" w:cs="Arial"/>
          <w:b/>
          <w:spacing w:val="-2"/>
          <w:sz w:val="28"/>
          <w:szCs w:val="28"/>
        </w:rPr>
        <w:t>Fecha de entrega:</w:t>
      </w:r>
    </w:p>
    <w:p w14:paraId="38001B48" w14:textId="18342F28" w:rsidR="00EA6DA3" w:rsidRDefault="00EA6DA3" w:rsidP="00EA6DA3">
      <w:pPr>
        <w:spacing w:before="4"/>
        <w:ind w:left="2732" w:right="2501"/>
        <w:jc w:val="center"/>
        <w:rPr>
          <w:rFonts w:ascii="Arial" w:hAnsi="Arial" w:cs="Arial"/>
          <w:bCs/>
          <w:spacing w:val="-2"/>
          <w:sz w:val="28"/>
          <w:szCs w:val="28"/>
        </w:rPr>
      </w:pPr>
      <w:r>
        <w:rPr>
          <w:rFonts w:ascii="Arial" w:hAnsi="Arial" w:cs="Arial"/>
          <w:bCs/>
          <w:spacing w:val="-2"/>
          <w:sz w:val="28"/>
          <w:szCs w:val="28"/>
        </w:rPr>
        <w:t>1</w:t>
      </w:r>
      <w:r w:rsidR="001B1ABD">
        <w:rPr>
          <w:rFonts w:ascii="Arial" w:hAnsi="Arial" w:cs="Arial"/>
          <w:bCs/>
          <w:spacing w:val="-2"/>
          <w:sz w:val="28"/>
          <w:szCs w:val="28"/>
        </w:rPr>
        <w:t>4</w:t>
      </w:r>
      <w:r>
        <w:rPr>
          <w:rFonts w:ascii="Arial" w:hAnsi="Arial" w:cs="Arial"/>
          <w:bCs/>
          <w:spacing w:val="-2"/>
          <w:sz w:val="28"/>
          <w:szCs w:val="28"/>
        </w:rPr>
        <w:t>/09/2024</w:t>
      </w:r>
    </w:p>
    <w:p w14:paraId="08D2D45C" w14:textId="77777777" w:rsidR="00A346FB" w:rsidRDefault="00A346FB" w:rsidP="00EA6DA3">
      <w:pPr>
        <w:spacing w:before="4"/>
        <w:ind w:left="2732" w:right="2501"/>
        <w:jc w:val="center"/>
        <w:rPr>
          <w:rFonts w:ascii="Arial" w:hAnsi="Arial" w:cs="Arial"/>
          <w:bCs/>
          <w:spacing w:val="-2"/>
          <w:sz w:val="28"/>
          <w:szCs w:val="28"/>
        </w:rPr>
      </w:pPr>
    </w:p>
    <w:p w14:paraId="21377542" w14:textId="77777777" w:rsidR="00A346FB" w:rsidRDefault="00A346FB" w:rsidP="00EA6DA3">
      <w:pPr>
        <w:spacing w:before="4"/>
        <w:ind w:left="2732" w:right="2501"/>
        <w:jc w:val="center"/>
        <w:rPr>
          <w:rFonts w:ascii="Arial" w:hAnsi="Arial" w:cs="Arial"/>
          <w:bCs/>
          <w:spacing w:val="-2"/>
          <w:sz w:val="28"/>
          <w:szCs w:val="28"/>
        </w:rPr>
      </w:pPr>
    </w:p>
    <w:p w14:paraId="7B738CC4" w14:textId="77777777" w:rsidR="00A346FB" w:rsidRDefault="00A346FB" w:rsidP="00A346FB">
      <w:pPr>
        <w:spacing w:before="4"/>
        <w:ind w:right="2501"/>
        <w:rPr>
          <w:rFonts w:ascii="Arial" w:hAnsi="Arial" w:cs="Arial"/>
          <w:bCs/>
          <w:spacing w:val="-2"/>
          <w:sz w:val="28"/>
          <w:szCs w:val="28"/>
        </w:rPr>
      </w:pPr>
    </w:p>
    <w:p w14:paraId="706B5C16" w14:textId="44F6A3B7" w:rsidR="00A346FB" w:rsidRDefault="00A346FB" w:rsidP="00A346FB">
      <w:pPr>
        <w:spacing w:before="4"/>
        <w:ind w:right="2501"/>
        <w:jc w:val="center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lastRenderedPageBreak/>
        <w:t xml:space="preserve">                                      </w:t>
      </w:r>
      <w:r w:rsidRPr="00A346FB">
        <w:rPr>
          <w:rFonts w:ascii="Arial" w:hAnsi="Arial" w:cs="Arial"/>
          <w:bCs/>
          <w:spacing w:val="-2"/>
          <w:sz w:val="24"/>
          <w:szCs w:val="24"/>
        </w:rPr>
        <w:t>Historia natural de la enfermedad</w:t>
      </w:r>
    </w:p>
    <w:p w14:paraId="4A4419AC" w14:textId="77777777" w:rsidR="00A346FB" w:rsidRDefault="00A346FB" w:rsidP="001B1ABD">
      <w:pPr>
        <w:spacing w:before="4"/>
        <w:ind w:right="2501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21085557" w14:textId="4BFFD3E5" w:rsidR="00A346FB" w:rsidRP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</w:rPr>
      </w:pPr>
      <w:r w:rsidRPr="001B1ABD">
        <w:rPr>
          <w:rFonts w:ascii="Arial" w:hAnsi="Arial" w:cs="Arial"/>
        </w:rPr>
        <w:t>La historia natural de la enfermedad es la evolución que sigue ésta en ausencia dé intervención. Este proceso, con los diferentes niveles de prevención, se resume en la figura 1-2. El período prepatogénico es el momento en que las causas de la enfermedad (ambientales y de la persona) actúan hasta iniciar el proceso.</w:t>
      </w:r>
    </w:p>
    <w:p w14:paraId="148FE061" w14:textId="77777777" w:rsidR="001B1ABD" w:rsidRP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</w:rPr>
      </w:pPr>
    </w:p>
    <w:p w14:paraId="7C8B274E" w14:textId="50DC8572" w:rsidR="001B1ABD" w:rsidRP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1B1ABD">
        <w:rPr>
          <w:rFonts w:ascii="Arial" w:hAnsi="Arial" w:cs="Arial"/>
          <w:bCs/>
          <w:spacing w:val="-2"/>
          <w:sz w:val="24"/>
          <w:szCs w:val="24"/>
        </w:rPr>
        <w:drawing>
          <wp:inline distT="0" distB="0" distL="0" distR="0" wp14:anchorId="36F836E3" wp14:editId="639E81E0">
            <wp:extent cx="5943600" cy="2319655"/>
            <wp:effectExtent l="0" t="0" r="0" b="4445"/>
            <wp:docPr id="19370412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412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1259" w14:textId="77777777" w:rsidR="001B1ABD" w:rsidRP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55B474FD" w14:textId="564A1497" w:rsidR="001B1ABD" w:rsidRP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</w:rPr>
      </w:pPr>
      <w:r w:rsidRPr="001B1ABD">
        <w:rPr>
          <w:rFonts w:ascii="Arial" w:hAnsi="Arial" w:cs="Arial"/>
        </w:rPr>
        <w:t xml:space="preserve">El período patogénico consta de dos fases: a) una etapa en la que la enfermedad no se detecta clínicamente (es subclínica) o fase de latencia, y b) una etapa de evidencia clínica, en la que los síntomas sobrepasan el </w:t>
      </w:r>
      <w:proofErr w:type="spellStart"/>
      <w:r w:rsidRPr="001B1ABD">
        <w:rPr>
          <w:rFonts w:ascii="Arial" w:hAnsi="Arial" w:cs="Arial"/>
        </w:rPr>
        <w:t>n</w:t>
      </w:r>
      <w:r w:rsidRPr="001B1ABD">
        <w:rPr>
          <w:rFonts w:ascii="Arial" w:hAnsi="Arial" w:cs="Arial"/>
        </w:rPr>
        <w:t>u</w:t>
      </w:r>
      <w:r w:rsidRPr="001B1ABD">
        <w:rPr>
          <w:rFonts w:ascii="Arial" w:hAnsi="Arial" w:cs="Arial"/>
        </w:rPr>
        <w:t>mbral</w:t>
      </w:r>
      <w:proofErr w:type="spellEnd"/>
      <w:r w:rsidRPr="001B1ABD">
        <w:rPr>
          <w:rFonts w:ascii="Arial" w:hAnsi="Arial" w:cs="Arial"/>
        </w:rPr>
        <w:t xml:space="preserve"> de detección (el horizonte clínico, cambiante entre las personas) y se hace aparente la enfermedad. La enfermedad termina en esta fase, ya sea por curación (la clínica desciende por debajo del horizonte clínico), cronificación o muerte. En estas tres fases se puede intervenir. La prevención primaria actúa sobre las causas o determinantes de la enfermedad, e intenta evitar que la enfermedad aparezca. La prevención secundaria busca detectar la enfermedad antes de que se</w:t>
      </w:r>
      <w:r w:rsidRPr="001B1ABD">
        <w:rPr>
          <w:rFonts w:ascii="Arial" w:hAnsi="Arial" w:cs="Arial"/>
        </w:rPr>
        <w:t>a</w:t>
      </w:r>
      <w:r w:rsidRPr="001B1ABD">
        <w:rPr>
          <w:rFonts w:ascii="Arial" w:hAnsi="Arial" w:cs="Arial"/>
        </w:rPr>
        <w:t xml:space="preserve"> </w:t>
      </w:r>
      <w:r w:rsidRPr="001B1ABD">
        <w:rPr>
          <w:rFonts w:ascii="Arial" w:hAnsi="Arial" w:cs="Arial"/>
        </w:rPr>
        <w:t>e</w:t>
      </w:r>
      <w:r w:rsidRPr="001B1ABD">
        <w:rPr>
          <w:rFonts w:ascii="Arial" w:hAnsi="Arial" w:cs="Arial"/>
        </w:rPr>
        <w:t>vidente clín</w:t>
      </w:r>
      <w:r w:rsidRPr="001B1ABD">
        <w:rPr>
          <w:rFonts w:ascii="Arial" w:hAnsi="Arial" w:cs="Arial"/>
        </w:rPr>
        <w:t>ic</w:t>
      </w:r>
      <w:r w:rsidRPr="001B1ABD">
        <w:rPr>
          <w:rFonts w:ascii="Arial" w:hAnsi="Arial" w:cs="Arial"/>
        </w:rPr>
        <w:t>amente, para que, al tratarla en esta fase , se alcance un me</w:t>
      </w:r>
      <w:r w:rsidRPr="001B1ABD">
        <w:rPr>
          <w:rFonts w:ascii="Arial" w:hAnsi="Arial" w:cs="Arial"/>
        </w:rPr>
        <w:t>jor pr</w:t>
      </w:r>
      <w:r w:rsidRPr="001B1ABD">
        <w:rPr>
          <w:rFonts w:ascii="Arial" w:hAnsi="Arial" w:cs="Arial"/>
        </w:rPr>
        <w:t>onóstico que al hacerlo cuando</w:t>
      </w:r>
      <w:r w:rsidRPr="001B1ABD">
        <w:rPr>
          <w:rFonts w:ascii="Arial" w:hAnsi="Arial" w:cs="Arial"/>
        </w:rPr>
        <w:t xml:space="preserve"> </w:t>
      </w:r>
      <w:r w:rsidRPr="001B1ABD">
        <w:rPr>
          <w:rFonts w:ascii="Arial" w:hAnsi="Arial" w:cs="Arial"/>
        </w:rPr>
        <w:t>ya es aparente. La prevención t</w:t>
      </w:r>
      <w:r w:rsidRPr="001B1ABD">
        <w:rPr>
          <w:rFonts w:ascii="Arial" w:hAnsi="Arial" w:cs="Arial"/>
        </w:rPr>
        <w:t>e</w:t>
      </w:r>
      <w:r w:rsidRPr="001B1ABD">
        <w:rPr>
          <w:rFonts w:ascii="Arial" w:hAnsi="Arial" w:cs="Arial"/>
        </w:rPr>
        <w:t>rciaria intenta mejorar también el pronóstico, y con un tratamiento correcto se busca</w:t>
      </w:r>
      <w:r w:rsidRPr="001B1ABD">
        <w:rPr>
          <w:rFonts w:ascii="Arial" w:hAnsi="Arial" w:cs="Arial"/>
        </w:rPr>
        <w:t xml:space="preserve"> disminuir</w:t>
      </w:r>
      <w:r w:rsidRPr="001B1ABD">
        <w:rPr>
          <w:rFonts w:ascii="Arial" w:hAnsi="Arial" w:cs="Arial"/>
        </w:rPr>
        <w:t xml:space="preserve"> el número de complicaciones y secuelas.</w:t>
      </w:r>
    </w:p>
    <w:p w14:paraId="07B7CF87" w14:textId="6119E460" w:rsid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</w:rPr>
      </w:pPr>
      <w:r w:rsidRPr="001B1ABD">
        <w:rPr>
          <w:rFonts w:ascii="Arial" w:hAnsi="Arial" w:cs="Arial"/>
        </w:rPr>
        <w:lastRenderedPageBreak/>
        <w:t xml:space="preserve">La </w:t>
      </w:r>
      <w:r w:rsidRPr="001B1ABD">
        <w:rPr>
          <w:rStyle w:val="Textoennegrita"/>
          <w:rFonts w:ascii="Arial" w:hAnsi="Arial" w:cs="Arial"/>
        </w:rPr>
        <w:t>historia natural de la enfermedad</w:t>
      </w:r>
      <w:r w:rsidRPr="001B1ABD">
        <w:rPr>
          <w:rFonts w:ascii="Arial" w:hAnsi="Arial" w:cs="Arial"/>
        </w:rPr>
        <w:t xml:space="preserve"> es clave para comprender cómo se desarrollan las enfermedades sin intervención médica. Al estudiar su evolución, desde las primeras interacciones entre el agente, el huésped y el ambiente hasta su desenlace final, se pueden identificar momentos críticos para la prevención, el diagnóstico temprano y el tratamiento. Este conocimiento permite a los profesionales de salud diseñar estrategias eficaces para controlar y mitigar el impacto de las enfermedades en la población, mejorando así la salud pública y la calidad de vida.</w:t>
      </w:r>
    </w:p>
    <w:p w14:paraId="4FA7D2A2" w14:textId="723729CA" w:rsid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  <w:b/>
          <w:bCs/>
        </w:rPr>
      </w:pPr>
      <w:r w:rsidRPr="001B1ABD">
        <w:rPr>
          <w:rFonts w:ascii="Arial" w:hAnsi="Arial" w:cs="Arial"/>
          <w:b/>
          <w:bCs/>
        </w:rPr>
        <w:t>Bibliografía</w:t>
      </w:r>
    </w:p>
    <w:p w14:paraId="457EDDB3" w14:textId="77777777" w:rsidR="001B1ABD" w:rsidRDefault="001B1ABD" w:rsidP="001B1ABD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Hernández-Aguado, L. H.-A. (2005). </w:t>
      </w:r>
      <w:r>
        <w:rPr>
          <w:i/>
          <w:iCs/>
        </w:rPr>
        <w:t>Manual de epidemiología y salud pública</w:t>
      </w:r>
      <w:r>
        <w:t xml:space="preserve"> (1.</w:t>
      </w:r>
      <w:r>
        <w:rPr>
          <w:vertAlign w:val="superscript"/>
        </w:rPr>
        <w:t>a</w:t>
      </w:r>
      <w:r>
        <w:t xml:space="preserve"> ed.).</w:t>
      </w:r>
    </w:p>
    <w:p w14:paraId="642928C0" w14:textId="77777777" w:rsidR="001B1ABD" w:rsidRPr="001B1ABD" w:rsidRDefault="001B1ABD" w:rsidP="001B1ABD">
      <w:pPr>
        <w:spacing w:before="4" w:line="360" w:lineRule="auto"/>
        <w:ind w:right="2501"/>
        <w:jc w:val="both"/>
        <w:rPr>
          <w:rFonts w:ascii="Arial" w:hAnsi="Arial" w:cs="Arial"/>
          <w:b/>
          <w:bCs/>
          <w:spacing w:val="-2"/>
          <w:sz w:val="24"/>
          <w:szCs w:val="24"/>
          <w:lang w:val="es-MX"/>
        </w:rPr>
      </w:pPr>
    </w:p>
    <w:sectPr w:rsidR="001B1ABD" w:rsidRPr="001B1ABD" w:rsidSect="003A609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62D6" w14:textId="77777777" w:rsidR="00190706" w:rsidRDefault="00190706" w:rsidP="00EA6DA3">
      <w:r>
        <w:separator/>
      </w:r>
    </w:p>
  </w:endnote>
  <w:endnote w:type="continuationSeparator" w:id="0">
    <w:p w14:paraId="40A9B6E4" w14:textId="77777777" w:rsidR="00190706" w:rsidRDefault="00190706" w:rsidP="00E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5037" w14:textId="77777777" w:rsidR="00190706" w:rsidRDefault="00190706" w:rsidP="00EA6DA3">
      <w:r>
        <w:separator/>
      </w:r>
    </w:p>
  </w:footnote>
  <w:footnote w:type="continuationSeparator" w:id="0">
    <w:p w14:paraId="3A0DFDB3" w14:textId="77777777" w:rsidR="00190706" w:rsidRDefault="00190706" w:rsidP="00EA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A3"/>
    <w:rsid w:val="00190706"/>
    <w:rsid w:val="001B1ABD"/>
    <w:rsid w:val="003A6090"/>
    <w:rsid w:val="005208C5"/>
    <w:rsid w:val="00557C03"/>
    <w:rsid w:val="00631798"/>
    <w:rsid w:val="007555B8"/>
    <w:rsid w:val="008D3050"/>
    <w:rsid w:val="00A346FB"/>
    <w:rsid w:val="00C73D2E"/>
    <w:rsid w:val="00E94E40"/>
    <w:rsid w:val="00EA6DA3"/>
    <w:rsid w:val="00F71842"/>
    <w:rsid w:val="00F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B068"/>
  <w15:chartTrackingRefBased/>
  <w15:docId w15:val="{0911698B-48D2-4367-B52A-9E59CAA5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A6DA3"/>
    <w:pPr>
      <w:ind w:left="1556"/>
    </w:pPr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6DA3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A6DA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DA3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DA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DA3"/>
    <w:rPr>
      <w:rFonts w:ascii="Arial MT" w:eastAsia="Arial MT" w:hAnsi="Arial MT" w:cs="Arial MT"/>
      <w:kern w:val="0"/>
      <w:lang w:val="es-ES"/>
      <w14:ligatures w14:val="none"/>
    </w:rPr>
  </w:style>
  <w:style w:type="character" w:styleId="Textoennegrita">
    <w:name w:val="Strong"/>
    <w:basedOn w:val="Fuentedeprrafopredeter"/>
    <w:uiPriority w:val="22"/>
    <w:qFormat/>
    <w:rsid w:val="001B1A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1A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61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 Gordillo</dc:creator>
  <cp:keywords/>
  <dc:description/>
  <cp:lastModifiedBy>Ceci Gordillo</cp:lastModifiedBy>
  <cp:revision>5</cp:revision>
  <dcterms:created xsi:type="dcterms:W3CDTF">2024-09-15T00:25:00Z</dcterms:created>
  <dcterms:modified xsi:type="dcterms:W3CDTF">2024-09-15T05:50:00Z</dcterms:modified>
</cp:coreProperties>
</file>