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A92" w:rsidRDefault="0055012F" w:rsidP="0055012F">
      <w:pPr>
        <w:jc w:val="center"/>
        <w:rPr>
          <w:rFonts w:ascii="Stencil" w:hAnsi="Stencil"/>
          <w:sz w:val="36"/>
        </w:rPr>
      </w:pPr>
      <w:r>
        <w:rPr>
          <w:noProof/>
          <w:lang w:eastAsia="es-MX"/>
        </w:rPr>
        <w:drawing>
          <wp:anchor distT="0" distB="0" distL="114300" distR="114300" simplePos="0" relativeHeight="251658240" behindDoc="0" locked="0" layoutInCell="1" allowOverlap="1">
            <wp:simplePos x="0" y="0"/>
            <wp:positionH relativeFrom="margin">
              <wp:posOffset>-866775</wp:posOffset>
            </wp:positionH>
            <wp:positionV relativeFrom="paragraph">
              <wp:posOffset>-709295</wp:posOffset>
            </wp:positionV>
            <wp:extent cx="1790700" cy="16853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png"/>
                    <pic:cNvPicPr/>
                  </pic:nvPicPr>
                  <pic:blipFill>
                    <a:blip r:embed="rId5">
                      <a:extLst>
                        <a:ext uri="{28A0092B-C50C-407E-A947-70E740481C1C}">
                          <a14:useLocalDpi xmlns:a14="http://schemas.microsoft.com/office/drawing/2010/main" val="0"/>
                        </a:ext>
                      </a:extLst>
                    </a:blip>
                    <a:stretch>
                      <a:fillRect/>
                    </a:stretch>
                  </pic:blipFill>
                  <pic:spPr>
                    <a:xfrm>
                      <a:off x="0" y="0"/>
                      <a:ext cx="1790700" cy="1685365"/>
                    </a:xfrm>
                    <a:prstGeom prst="rect">
                      <a:avLst/>
                    </a:prstGeom>
                  </pic:spPr>
                </pic:pic>
              </a:graphicData>
            </a:graphic>
            <wp14:sizeRelH relativeFrom="margin">
              <wp14:pctWidth>0</wp14:pctWidth>
            </wp14:sizeRelH>
            <wp14:sizeRelV relativeFrom="margin">
              <wp14:pctHeight>0</wp14:pctHeight>
            </wp14:sizeRelV>
          </wp:anchor>
        </w:drawing>
      </w:r>
      <w:r>
        <w:rPr>
          <w:rFonts w:ascii="Stencil" w:hAnsi="Stencil"/>
          <w:sz w:val="36"/>
        </w:rPr>
        <w:t>Universidad del sureste</w:t>
      </w:r>
    </w:p>
    <w:p w:rsidR="0055012F" w:rsidRDefault="0055012F" w:rsidP="0055012F">
      <w:pPr>
        <w:jc w:val="center"/>
        <w:rPr>
          <w:rFonts w:ascii="Stencil" w:hAnsi="Stencil"/>
          <w:sz w:val="36"/>
        </w:rPr>
      </w:pPr>
    </w:p>
    <w:p w:rsidR="0055012F" w:rsidRPr="0055012F" w:rsidRDefault="0055012F" w:rsidP="0055012F">
      <w:pPr>
        <w:jc w:val="center"/>
        <w:rPr>
          <w:rFonts w:ascii="Arial" w:hAnsi="Arial" w:cs="Arial"/>
          <w:sz w:val="28"/>
        </w:rPr>
      </w:pPr>
      <w:r>
        <w:rPr>
          <w:rFonts w:ascii="Stencil" w:hAnsi="Stencil"/>
          <w:sz w:val="36"/>
        </w:rPr>
        <w:t>Licenciatura:</w:t>
      </w:r>
      <w:r>
        <w:rPr>
          <w:rFonts w:ascii="Arial" w:hAnsi="Arial" w:cs="Arial"/>
          <w:sz w:val="28"/>
        </w:rPr>
        <w:t xml:space="preserve"> Medicina Humana</w:t>
      </w:r>
    </w:p>
    <w:p w:rsidR="0055012F" w:rsidRDefault="0055012F" w:rsidP="0055012F">
      <w:pPr>
        <w:jc w:val="center"/>
        <w:rPr>
          <w:rFonts w:ascii="Stencil" w:hAnsi="Stencil"/>
          <w:sz w:val="36"/>
        </w:rPr>
      </w:pPr>
    </w:p>
    <w:p w:rsidR="0055012F" w:rsidRPr="0055012F" w:rsidRDefault="0055012F" w:rsidP="0055012F">
      <w:pPr>
        <w:jc w:val="center"/>
        <w:rPr>
          <w:rFonts w:ascii="Arial" w:hAnsi="Arial" w:cs="Arial"/>
          <w:sz w:val="28"/>
        </w:rPr>
      </w:pPr>
      <w:r>
        <w:rPr>
          <w:rFonts w:ascii="Stencil" w:hAnsi="Stencil"/>
          <w:sz w:val="36"/>
        </w:rPr>
        <w:t xml:space="preserve">Materia: </w:t>
      </w:r>
      <w:r w:rsidRPr="0055012F">
        <w:rPr>
          <w:rFonts w:ascii="Arial" w:hAnsi="Arial" w:cs="Arial"/>
          <w:sz w:val="28"/>
        </w:rPr>
        <w:t>Salud Pública</w:t>
      </w:r>
    </w:p>
    <w:p w:rsidR="0055012F" w:rsidRDefault="0055012F" w:rsidP="0055012F">
      <w:pPr>
        <w:jc w:val="center"/>
        <w:rPr>
          <w:rFonts w:ascii="Stencil" w:hAnsi="Stencil"/>
          <w:sz w:val="36"/>
        </w:rPr>
      </w:pPr>
    </w:p>
    <w:p w:rsidR="0055012F" w:rsidRPr="0055012F" w:rsidRDefault="0055012F" w:rsidP="0055012F">
      <w:pPr>
        <w:jc w:val="center"/>
        <w:rPr>
          <w:rFonts w:ascii="Arial" w:hAnsi="Arial" w:cs="Arial"/>
          <w:sz w:val="28"/>
        </w:rPr>
      </w:pPr>
      <w:r>
        <w:rPr>
          <w:rFonts w:ascii="Stencil" w:hAnsi="Stencil"/>
          <w:sz w:val="36"/>
        </w:rPr>
        <w:t xml:space="preserve">Trabajo: </w:t>
      </w:r>
      <w:r>
        <w:rPr>
          <w:rFonts w:ascii="Arial" w:hAnsi="Arial" w:cs="Arial"/>
          <w:sz w:val="28"/>
        </w:rPr>
        <w:t>Historia Natural de la E</w:t>
      </w:r>
      <w:r w:rsidRPr="0055012F">
        <w:rPr>
          <w:rFonts w:ascii="Arial" w:hAnsi="Arial" w:cs="Arial"/>
          <w:sz w:val="28"/>
        </w:rPr>
        <w:t>nfermedad</w:t>
      </w:r>
    </w:p>
    <w:p w:rsidR="0055012F" w:rsidRDefault="0055012F" w:rsidP="0055012F">
      <w:pPr>
        <w:jc w:val="center"/>
        <w:rPr>
          <w:rFonts w:ascii="Stencil" w:hAnsi="Stencil"/>
          <w:sz w:val="36"/>
        </w:rPr>
      </w:pPr>
    </w:p>
    <w:p w:rsidR="0055012F" w:rsidRPr="0055012F" w:rsidRDefault="0055012F" w:rsidP="0055012F">
      <w:pPr>
        <w:jc w:val="center"/>
        <w:rPr>
          <w:rFonts w:ascii="Arial" w:hAnsi="Arial" w:cs="Arial"/>
          <w:sz w:val="28"/>
        </w:rPr>
      </w:pPr>
      <w:r>
        <w:rPr>
          <w:rFonts w:ascii="Stencil" w:hAnsi="Stencil"/>
          <w:sz w:val="36"/>
        </w:rPr>
        <w:t xml:space="preserve">Docente: </w:t>
      </w:r>
      <w:r w:rsidRPr="0055012F">
        <w:rPr>
          <w:rFonts w:ascii="Arial" w:hAnsi="Arial" w:cs="Arial"/>
          <w:sz w:val="28"/>
        </w:rPr>
        <w:t xml:space="preserve">Dr. Axel </w:t>
      </w:r>
      <w:proofErr w:type="spellStart"/>
      <w:r>
        <w:rPr>
          <w:rFonts w:ascii="Arial" w:hAnsi="Arial" w:cs="Arial"/>
          <w:sz w:val="28"/>
        </w:rPr>
        <w:t>G</w:t>
      </w:r>
      <w:r w:rsidRPr="0055012F">
        <w:rPr>
          <w:rFonts w:ascii="Arial" w:hAnsi="Arial" w:cs="Arial"/>
          <w:sz w:val="28"/>
        </w:rPr>
        <w:t>pe</w:t>
      </w:r>
      <w:proofErr w:type="spellEnd"/>
      <w:r w:rsidRPr="0055012F">
        <w:rPr>
          <w:rFonts w:ascii="Arial" w:hAnsi="Arial" w:cs="Arial"/>
          <w:sz w:val="28"/>
        </w:rPr>
        <w:t>. Ceballos</w:t>
      </w:r>
    </w:p>
    <w:p w:rsidR="0055012F" w:rsidRDefault="0055012F" w:rsidP="0055012F">
      <w:pPr>
        <w:jc w:val="center"/>
        <w:rPr>
          <w:rFonts w:ascii="Stencil" w:hAnsi="Stencil"/>
          <w:sz w:val="36"/>
        </w:rPr>
      </w:pPr>
    </w:p>
    <w:p w:rsidR="0055012F" w:rsidRPr="0055012F" w:rsidRDefault="0055012F" w:rsidP="0055012F">
      <w:pPr>
        <w:jc w:val="center"/>
        <w:rPr>
          <w:rFonts w:ascii="Arial" w:hAnsi="Arial" w:cs="Arial"/>
          <w:sz w:val="28"/>
        </w:rPr>
      </w:pPr>
      <w:r>
        <w:rPr>
          <w:rFonts w:ascii="Stencil" w:hAnsi="Stencil"/>
          <w:sz w:val="36"/>
        </w:rPr>
        <w:t xml:space="preserve">Alumna: </w:t>
      </w:r>
      <w:r w:rsidRPr="0055012F">
        <w:rPr>
          <w:rFonts w:ascii="Arial" w:hAnsi="Arial" w:cs="Arial"/>
          <w:sz w:val="28"/>
        </w:rPr>
        <w:t xml:space="preserve">Xiomara </w:t>
      </w:r>
      <w:proofErr w:type="spellStart"/>
      <w:r w:rsidRPr="0055012F">
        <w:rPr>
          <w:rFonts w:ascii="Arial" w:hAnsi="Arial" w:cs="Arial"/>
          <w:sz w:val="28"/>
        </w:rPr>
        <w:t>Yaneska</w:t>
      </w:r>
      <w:proofErr w:type="spellEnd"/>
      <w:r w:rsidRPr="0055012F">
        <w:rPr>
          <w:rFonts w:ascii="Arial" w:hAnsi="Arial" w:cs="Arial"/>
          <w:sz w:val="28"/>
        </w:rPr>
        <w:t xml:space="preserve"> Núñez Gómez</w:t>
      </w: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w:hAnsi="Arial" w:cs="Arial"/>
          <w:sz w:val="18"/>
        </w:rPr>
      </w:pPr>
    </w:p>
    <w:p w:rsidR="0055012F" w:rsidRDefault="0055012F" w:rsidP="0055012F">
      <w:pPr>
        <w:jc w:val="center"/>
        <w:rPr>
          <w:rFonts w:ascii="Arial Rounded MT Bold" w:hAnsi="Arial Rounded MT Bold" w:cs="Arial"/>
          <w:sz w:val="36"/>
        </w:rPr>
      </w:pPr>
      <w:r>
        <w:rPr>
          <w:rFonts w:ascii="Arial Rounded MT Bold" w:hAnsi="Arial Rounded MT Bold" w:cs="Arial"/>
          <w:sz w:val="36"/>
        </w:rPr>
        <w:lastRenderedPageBreak/>
        <w:t>Historia Natural De La Enfermedad</w:t>
      </w:r>
    </w:p>
    <w:p w:rsidR="0055012F" w:rsidRDefault="0055012F" w:rsidP="0055012F">
      <w:pPr>
        <w:jc w:val="center"/>
        <w:rPr>
          <w:rFonts w:ascii="Arial Rounded MT Bold" w:hAnsi="Arial Rounded MT Bold" w:cs="Arial"/>
          <w:sz w:val="36"/>
        </w:rPr>
      </w:pPr>
    </w:p>
    <w:p w:rsidR="0055012F" w:rsidRDefault="00F23822" w:rsidP="0055012F">
      <w:pPr>
        <w:jc w:val="both"/>
        <w:rPr>
          <w:rFonts w:ascii="Arial" w:hAnsi="Arial" w:cs="Arial"/>
          <w:sz w:val="24"/>
        </w:rPr>
      </w:pPr>
      <w:r w:rsidRPr="00705788">
        <w:rPr>
          <w:rFonts w:ascii="Arial" w:hAnsi="Arial" w:cs="Arial"/>
          <w:sz w:val="24"/>
        </w:rPr>
        <w:t>La historia natural de la enfermedad es la ev</w:t>
      </w:r>
      <w:r w:rsidR="00705788" w:rsidRPr="00705788">
        <w:rPr>
          <w:rFonts w:ascii="Arial" w:hAnsi="Arial" w:cs="Arial"/>
          <w:sz w:val="24"/>
        </w:rPr>
        <w:t>olución que sigue ésta en ausen</w:t>
      </w:r>
      <w:r w:rsidRPr="00705788">
        <w:rPr>
          <w:rFonts w:ascii="Arial" w:hAnsi="Arial" w:cs="Arial"/>
          <w:sz w:val="24"/>
        </w:rPr>
        <w:t>cia dé intervención.</w:t>
      </w:r>
    </w:p>
    <w:p w:rsidR="00705788" w:rsidRDefault="00705788" w:rsidP="0055012F">
      <w:pPr>
        <w:jc w:val="both"/>
        <w:rPr>
          <w:rFonts w:ascii="Arial" w:hAnsi="Arial" w:cs="Arial"/>
          <w:sz w:val="24"/>
        </w:rPr>
      </w:pPr>
      <w:r>
        <w:rPr>
          <w:rFonts w:ascii="Arial" w:hAnsi="Arial" w:cs="Arial"/>
          <w:sz w:val="24"/>
        </w:rPr>
        <w:t xml:space="preserve">Consiste en dos periodos; el periodo </w:t>
      </w:r>
      <w:proofErr w:type="spellStart"/>
      <w:r>
        <w:rPr>
          <w:rFonts w:ascii="Arial" w:hAnsi="Arial" w:cs="Arial"/>
          <w:sz w:val="24"/>
        </w:rPr>
        <w:t>prepatogénico</w:t>
      </w:r>
      <w:proofErr w:type="spellEnd"/>
      <w:r>
        <w:rPr>
          <w:rFonts w:ascii="Arial" w:hAnsi="Arial" w:cs="Arial"/>
          <w:sz w:val="24"/>
        </w:rPr>
        <w:t xml:space="preserve"> y patogénico de los c</w:t>
      </w:r>
      <w:r w:rsidR="00FB0EBE">
        <w:rPr>
          <w:rFonts w:ascii="Arial" w:hAnsi="Arial" w:cs="Arial"/>
          <w:sz w:val="24"/>
        </w:rPr>
        <w:t>uales son</w:t>
      </w:r>
      <w:r>
        <w:rPr>
          <w:rFonts w:ascii="Arial" w:hAnsi="Arial" w:cs="Arial"/>
          <w:sz w:val="24"/>
        </w:rPr>
        <w:t>.</w:t>
      </w:r>
    </w:p>
    <w:p w:rsidR="00705788" w:rsidRPr="00705788" w:rsidRDefault="00705788" w:rsidP="00705788">
      <w:pPr>
        <w:pStyle w:val="Prrafodelista"/>
        <w:numPr>
          <w:ilvl w:val="0"/>
          <w:numId w:val="1"/>
        </w:numPr>
        <w:jc w:val="both"/>
        <w:rPr>
          <w:rFonts w:ascii="Arial" w:hAnsi="Arial" w:cs="Arial"/>
          <w:sz w:val="28"/>
        </w:rPr>
      </w:pPr>
      <w:r w:rsidRPr="00705788">
        <w:rPr>
          <w:rFonts w:ascii="Arial" w:hAnsi="Arial" w:cs="Arial"/>
          <w:sz w:val="24"/>
        </w:rPr>
        <w:t xml:space="preserve">El período </w:t>
      </w:r>
      <w:proofErr w:type="spellStart"/>
      <w:r w:rsidRPr="00705788">
        <w:rPr>
          <w:rFonts w:ascii="Arial" w:hAnsi="Arial" w:cs="Arial"/>
          <w:sz w:val="24"/>
        </w:rPr>
        <w:t>pre</w:t>
      </w:r>
      <w:r w:rsidRPr="00705788">
        <w:rPr>
          <w:rFonts w:ascii="Arial" w:hAnsi="Arial" w:cs="Arial"/>
          <w:sz w:val="24"/>
        </w:rPr>
        <w:t>patogénico</w:t>
      </w:r>
      <w:proofErr w:type="spellEnd"/>
      <w:r w:rsidRPr="00705788">
        <w:rPr>
          <w:rFonts w:ascii="Arial" w:hAnsi="Arial" w:cs="Arial"/>
          <w:sz w:val="24"/>
        </w:rPr>
        <w:t xml:space="preserve"> es el momento en que las causas de la enfermedad (ambientales y de la persona) actúan hasta iniciar el proceso.</w:t>
      </w:r>
    </w:p>
    <w:p w:rsidR="00705788" w:rsidRPr="00705788" w:rsidRDefault="00705788" w:rsidP="00705788">
      <w:pPr>
        <w:pStyle w:val="Prrafodelista"/>
        <w:numPr>
          <w:ilvl w:val="0"/>
          <w:numId w:val="1"/>
        </w:numPr>
        <w:rPr>
          <w:rFonts w:ascii="Arial" w:hAnsi="Arial" w:cs="Arial"/>
          <w:sz w:val="36"/>
        </w:rPr>
      </w:pPr>
      <w:r w:rsidRPr="00705788">
        <w:rPr>
          <w:rFonts w:ascii="Arial" w:hAnsi="Arial" w:cs="Arial"/>
          <w:sz w:val="24"/>
        </w:rPr>
        <w:t>El período patogénico consta de dos fases: a)</w:t>
      </w:r>
      <w:r w:rsidRPr="00705788">
        <w:rPr>
          <w:rFonts w:ascii="Arial" w:hAnsi="Arial" w:cs="Arial"/>
          <w:sz w:val="24"/>
        </w:rPr>
        <w:t xml:space="preserve"> una etapa en la que la enferme</w:t>
      </w:r>
      <w:r w:rsidRPr="00705788">
        <w:rPr>
          <w:rFonts w:ascii="Arial" w:hAnsi="Arial" w:cs="Arial"/>
          <w:sz w:val="24"/>
        </w:rPr>
        <w:t xml:space="preserve">dad </w:t>
      </w:r>
      <w:r w:rsidRPr="00705788">
        <w:rPr>
          <w:rFonts w:ascii="Arial" w:hAnsi="Arial" w:cs="Arial"/>
          <w:sz w:val="24"/>
        </w:rPr>
        <w:t xml:space="preserve">no se detecta clínicamente (es </w:t>
      </w:r>
      <w:r w:rsidRPr="00705788">
        <w:rPr>
          <w:rFonts w:ascii="Arial" w:hAnsi="Arial" w:cs="Arial"/>
          <w:sz w:val="24"/>
        </w:rPr>
        <w:t>clínica) o</w:t>
      </w:r>
      <w:r w:rsidRPr="00705788">
        <w:rPr>
          <w:rFonts w:ascii="Arial" w:hAnsi="Arial" w:cs="Arial"/>
          <w:sz w:val="24"/>
        </w:rPr>
        <w:t xml:space="preserve"> fase de latencia, y b) una eta</w:t>
      </w:r>
      <w:r w:rsidRPr="00705788">
        <w:rPr>
          <w:rFonts w:ascii="Arial" w:hAnsi="Arial" w:cs="Arial"/>
          <w:sz w:val="24"/>
        </w:rPr>
        <w:t xml:space="preserve">pa de evidencia clínica, en la </w:t>
      </w:r>
      <w:r w:rsidRPr="00705788">
        <w:rPr>
          <w:rFonts w:ascii="Arial" w:hAnsi="Arial" w:cs="Arial"/>
          <w:sz w:val="24"/>
        </w:rPr>
        <w:t>que los síntomas sobrepasan el umbral de detec</w:t>
      </w:r>
      <w:r w:rsidRPr="00705788">
        <w:rPr>
          <w:rFonts w:ascii="Arial" w:hAnsi="Arial" w:cs="Arial"/>
          <w:sz w:val="24"/>
        </w:rPr>
        <w:t>ción (el horizonte c</w:t>
      </w:r>
      <w:r w:rsidRPr="00705788">
        <w:rPr>
          <w:rFonts w:ascii="Arial" w:hAnsi="Arial" w:cs="Arial"/>
          <w:sz w:val="24"/>
        </w:rPr>
        <w:t>línico, cambiante en</w:t>
      </w:r>
      <w:r w:rsidRPr="00705788">
        <w:rPr>
          <w:rFonts w:ascii="Arial" w:hAnsi="Arial" w:cs="Arial"/>
          <w:sz w:val="24"/>
        </w:rPr>
        <w:t>tre las personas) y se hace aparente la enfermedad. La enfermedad termina en esta fase, ya sea por curación (la clínica desciende</w:t>
      </w:r>
      <w:r w:rsidRPr="00705788">
        <w:rPr>
          <w:rFonts w:ascii="Arial" w:hAnsi="Arial" w:cs="Arial"/>
          <w:sz w:val="24"/>
        </w:rPr>
        <w:t xml:space="preserve"> por debajo del horizonte clíni</w:t>
      </w:r>
      <w:r w:rsidRPr="00705788">
        <w:rPr>
          <w:rFonts w:ascii="Arial" w:hAnsi="Arial" w:cs="Arial"/>
          <w:sz w:val="24"/>
        </w:rPr>
        <w:t xml:space="preserve">co), </w:t>
      </w:r>
      <w:proofErr w:type="spellStart"/>
      <w:r w:rsidRPr="00705788">
        <w:rPr>
          <w:rFonts w:ascii="Arial" w:hAnsi="Arial" w:cs="Arial"/>
          <w:sz w:val="24"/>
        </w:rPr>
        <w:t>cronificación</w:t>
      </w:r>
      <w:proofErr w:type="spellEnd"/>
      <w:r w:rsidRPr="00705788">
        <w:rPr>
          <w:rFonts w:ascii="Arial" w:hAnsi="Arial" w:cs="Arial"/>
          <w:sz w:val="24"/>
        </w:rPr>
        <w:t xml:space="preserve"> o muerte.</w:t>
      </w:r>
    </w:p>
    <w:p w:rsidR="00705788" w:rsidRDefault="00705788" w:rsidP="00705788">
      <w:pPr>
        <w:pStyle w:val="Prrafodelista"/>
        <w:jc w:val="both"/>
        <w:rPr>
          <w:rFonts w:ascii="Arial" w:hAnsi="Arial" w:cs="Arial"/>
          <w:sz w:val="24"/>
        </w:rPr>
      </w:pPr>
    </w:p>
    <w:p w:rsidR="00705788" w:rsidRPr="00FB0EBE" w:rsidRDefault="00705788" w:rsidP="00FB0EBE">
      <w:pPr>
        <w:jc w:val="both"/>
        <w:rPr>
          <w:rFonts w:ascii="Arial" w:hAnsi="Arial" w:cs="Arial"/>
          <w:sz w:val="24"/>
        </w:rPr>
      </w:pPr>
      <w:r w:rsidRPr="00FB0EBE">
        <w:rPr>
          <w:rFonts w:ascii="Arial" w:hAnsi="Arial" w:cs="Arial"/>
          <w:sz w:val="24"/>
        </w:rPr>
        <w:t xml:space="preserve">En la fase de los periodos </w:t>
      </w:r>
      <w:proofErr w:type="spellStart"/>
      <w:r w:rsidRPr="00FB0EBE">
        <w:rPr>
          <w:rFonts w:ascii="Arial" w:hAnsi="Arial" w:cs="Arial"/>
          <w:sz w:val="24"/>
        </w:rPr>
        <w:t>prepatogénicos</w:t>
      </w:r>
      <w:proofErr w:type="spellEnd"/>
      <w:r w:rsidRPr="00FB0EBE">
        <w:rPr>
          <w:rFonts w:ascii="Arial" w:hAnsi="Arial" w:cs="Arial"/>
          <w:sz w:val="24"/>
        </w:rPr>
        <w:t xml:space="preserve"> y patógenos se puede implementar las prevenciones ya sean primarias, secundarias o terciarias.</w:t>
      </w:r>
    </w:p>
    <w:p w:rsidR="00705788" w:rsidRPr="00FB0EBE" w:rsidRDefault="00705788" w:rsidP="00FB0EBE">
      <w:pPr>
        <w:jc w:val="both"/>
        <w:rPr>
          <w:rFonts w:ascii="Arial" w:hAnsi="Arial" w:cs="Arial"/>
          <w:sz w:val="24"/>
        </w:rPr>
      </w:pPr>
    </w:p>
    <w:p w:rsidR="001C5E71" w:rsidRPr="001024F7" w:rsidRDefault="001C5E71" w:rsidP="001024F7">
      <w:pPr>
        <w:pStyle w:val="Prrafodelista"/>
        <w:numPr>
          <w:ilvl w:val="0"/>
          <w:numId w:val="6"/>
        </w:numPr>
        <w:jc w:val="both"/>
        <w:rPr>
          <w:rFonts w:ascii="Arial" w:hAnsi="Arial" w:cs="Arial"/>
          <w:sz w:val="24"/>
          <w:lang w:eastAsia="es-MX"/>
        </w:rPr>
      </w:pPr>
      <w:r w:rsidRPr="001024F7">
        <w:rPr>
          <w:rFonts w:ascii="Arial" w:hAnsi="Arial" w:cs="Arial"/>
          <w:b/>
          <w:bCs/>
          <w:sz w:val="24"/>
          <w:lang w:eastAsia="es-MX"/>
        </w:rPr>
        <w:t>.-Nivel de prevención primario (periodo pre-patogénico)</w:t>
      </w:r>
      <w:r w:rsidRPr="001024F7">
        <w:rPr>
          <w:rFonts w:ascii="Arial" w:hAnsi="Arial" w:cs="Arial"/>
          <w:sz w:val="24"/>
          <w:lang w:eastAsia="es-MX"/>
        </w:rPr>
        <w:t>: Acciones individuales o comunitarias orientadas a la población con el fin de reducir la incidencia de cierta enfermedad, para esto se debe actuar en disminuir los factores de riesgo.</w:t>
      </w:r>
    </w:p>
    <w:p w:rsidR="001C5E71" w:rsidRPr="001024F7" w:rsidRDefault="001C5E71" w:rsidP="001024F7">
      <w:pPr>
        <w:pStyle w:val="Prrafodelista"/>
        <w:numPr>
          <w:ilvl w:val="0"/>
          <w:numId w:val="6"/>
        </w:numPr>
        <w:jc w:val="both"/>
        <w:rPr>
          <w:rFonts w:ascii="Arial" w:hAnsi="Arial" w:cs="Arial"/>
          <w:sz w:val="24"/>
          <w:lang w:eastAsia="es-MX"/>
        </w:rPr>
      </w:pPr>
      <w:r w:rsidRPr="001024F7">
        <w:rPr>
          <w:rFonts w:ascii="Arial" w:hAnsi="Arial" w:cs="Arial"/>
          <w:sz w:val="24"/>
          <w:lang w:eastAsia="es-MX"/>
        </w:rPr>
        <w:t>Promoción de la salud: control de los determinantes en población presuntamente sana.</w:t>
      </w:r>
    </w:p>
    <w:p w:rsidR="001C5E71" w:rsidRPr="001024F7" w:rsidRDefault="001C5E71" w:rsidP="001024F7">
      <w:pPr>
        <w:pStyle w:val="Prrafodelista"/>
        <w:numPr>
          <w:ilvl w:val="0"/>
          <w:numId w:val="6"/>
        </w:numPr>
        <w:jc w:val="both"/>
        <w:rPr>
          <w:rFonts w:ascii="Arial" w:hAnsi="Arial" w:cs="Arial"/>
          <w:sz w:val="24"/>
          <w:lang w:eastAsia="es-MX"/>
        </w:rPr>
      </w:pPr>
      <w:r w:rsidRPr="001024F7">
        <w:rPr>
          <w:rFonts w:ascii="Arial" w:hAnsi="Arial" w:cs="Arial"/>
          <w:sz w:val="24"/>
          <w:lang w:eastAsia="es-MX"/>
        </w:rPr>
        <w:t>Protección específica o prevención de la enfermedad: también en población presuntamente sana pero orientada a evitar problemas específicos de salud.</w:t>
      </w:r>
    </w:p>
    <w:p w:rsidR="001C5E71" w:rsidRPr="001024F7" w:rsidRDefault="001C5E71" w:rsidP="001024F7">
      <w:pPr>
        <w:pStyle w:val="Prrafodelista"/>
        <w:numPr>
          <w:ilvl w:val="0"/>
          <w:numId w:val="6"/>
        </w:numPr>
        <w:jc w:val="both"/>
        <w:rPr>
          <w:rFonts w:ascii="Arial" w:hAnsi="Arial" w:cs="Arial"/>
          <w:sz w:val="24"/>
          <w:lang w:eastAsia="es-MX"/>
        </w:rPr>
      </w:pPr>
      <w:r w:rsidRPr="001024F7">
        <w:rPr>
          <w:rFonts w:ascii="Arial" w:hAnsi="Arial" w:cs="Arial"/>
          <w:b/>
          <w:bCs/>
          <w:sz w:val="24"/>
          <w:lang w:eastAsia="es-MX"/>
        </w:rPr>
        <w:t>2.-Nivel de prevención secundario (periodo patogénico)</w:t>
      </w:r>
      <w:r w:rsidRPr="001024F7">
        <w:rPr>
          <w:rFonts w:ascii="Arial" w:hAnsi="Arial" w:cs="Arial"/>
          <w:sz w:val="24"/>
          <w:lang w:eastAsia="es-MX"/>
        </w:rPr>
        <w:t>: dirigida a la población presuntamente sana y/o en etapas iniciales de enfermedad, incluye:</w:t>
      </w:r>
    </w:p>
    <w:p w:rsidR="001024F7" w:rsidRDefault="001C5E71" w:rsidP="00586E0D">
      <w:pPr>
        <w:pStyle w:val="Prrafodelista"/>
        <w:numPr>
          <w:ilvl w:val="0"/>
          <w:numId w:val="6"/>
        </w:numPr>
        <w:jc w:val="both"/>
        <w:rPr>
          <w:rFonts w:ascii="Arial" w:hAnsi="Arial" w:cs="Arial"/>
          <w:sz w:val="24"/>
          <w:lang w:eastAsia="es-MX"/>
        </w:rPr>
      </w:pPr>
      <w:r w:rsidRPr="001024F7">
        <w:rPr>
          <w:rFonts w:ascii="Arial" w:hAnsi="Arial" w:cs="Arial"/>
          <w:sz w:val="24"/>
          <w:lang w:eastAsia="es-MX"/>
        </w:rPr>
        <w:t xml:space="preserve">Diagnóstico precoz y tratamiento oportuno: búsqueda intencionada en población general presuntamente sana o en grupos de alto riesgo y consecuente tratamiento. </w:t>
      </w:r>
    </w:p>
    <w:p w:rsidR="001C5E71" w:rsidRPr="001024F7" w:rsidRDefault="001C5E71" w:rsidP="00586E0D">
      <w:pPr>
        <w:pStyle w:val="Prrafodelista"/>
        <w:numPr>
          <w:ilvl w:val="0"/>
          <w:numId w:val="6"/>
        </w:numPr>
        <w:jc w:val="both"/>
        <w:rPr>
          <w:rFonts w:ascii="Arial" w:hAnsi="Arial" w:cs="Arial"/>
          <w:sz w:val="24"/>
          <w:lang w:eastAsia="es-MX"/>
        </w:rPr>
      </w:pPr>
      <w:r w:rsidRPr="001024F7">
        <w:rPr>
          <w:rFonts w:ascii="Arial" w:hAnsi="Arial" w:cs="Arial"/>
          <w:sz w:val="24"/>
          <w:lang w:eastAsia="es-MX"/>
        </w:rPr>
        <w:t>Limitación de la incapacidad: tratamiento de la enfermedad en sintomáticos para acortar la enfermedad y evitar complicaciones y secuelas.</w:t>
      </w:r>
    </w:p>
    <w:p w:rsidR="001C5E71" w:rsidRPr="001024F7" w:rsidRDefault="001C5E71" w:rsidP="001024F7">
      <w:pPr>
        <w:pStyle w:val="Prrafodelista"/>
        <w:numPr>
          <w:ilvl w:val="0"/>
          <w:numId w:val="6"/>
        </w:numPr>
        <w:jc w:val="both"/>
        <w:rPr>
          <w:rFonts w:ascii="Arial" w:hAnsi="Arial" w:cs="Arial"/>
          <w:sz w:val="24"/>
          <w:lang w:eastAsia="es-MX"/>
        </w:rPr>
      </w:pPr>
      <w:r w:rsidRPr="001024F7">
        <w:rPr>
          <w:rFonts w:ascii="Arial" w:hAnsi="Arial" w:cs="Arial"/>
          <w:b/>
          <w:bCs/>
          <w:sz w:val="24"/>
          <w:lang w:eastAsia="es-MX"/>
        </w:rPr>
        <w:t>3.-Nivel de prevención terciario (periodo patogénico)</w:t>
      </w:r>
      <w:r w:rsidR="001024F7" w:rsidRPr="001024F7">
        <w:rPr>
          <w:rFonts w:ascii="Arial" w:hAnsi="Arial" w:cs="Arial"/>
          <w:sz w:val="24"/>
          <w:lang w:eastAsia="es-MX"/>
        </w:rPr>
        <w:t>: Medidas</w:t>
      </w:r>
      <w:r w:rsidRPr="001024F7">
        <w:rPr>
          <w:rFonts w:ascii="Arial" w:hAnsi="Arial" w:cs="Arial"/>
          <w:sz w:val="24"/>
          <w:lang w:eastAsia="es-MX"/>
        </w:rPr>
        <w:t xml:space="preserve"> destinadas a reducir en el largo plazo las consecuencias de la enfermedad, dirigida a </w:t>
      </w:r>
      <w:r w:rsidR="001024F7" w:rsidRPr="001024F7">
        <w:rPr>
          <w:rFonts w:ascii="Arial" w:hAnsi="Arial" w:cs="Arial"/>
          <w:sz w:val="24"/>
          <w:lang w:eastAsia="es-MX"/>
        </w:rPr>
        <w:t>enfermos avanzados, convalecientes o discapacitados</w:t>
      </w:r>
      <w:r w:rsidRPr="001024F7">
        <w:rPr>
          <w:rFonts w:ascii="Arial" w:hAnsi="Arial" w:cs="Arial"/>
          <w:sz w:val="24"/>
          <w:lang w:eastAsia="es-MX"/>
        </w:rPr>
        <w:t>. Incluye:</w:t>
      </w:r>
    </w:p>
    <w:p w:rsidR="001C5E71" w:rsidRPr="001024F7" w:rsidRDefault="001C5E71" w:rsidP="001024F7">
      <w:pPr>
        <w:pStyle w:val="Prrafodelista"/>
        <w:numPr>
          <w:ilvl w:val="0"/>
          <w:numId w:val="6"/>
        </w:numPr>
        <w:jc w:val="both"/>
        <w:rPr>
          <w:rFonts w:ascii="Arial" w:hAnsi="Arial" w:cs="Arial"/>
          <w:sz w:val="24"/>
          <w:lang w:eastAsia="es-MX"/>
        </w:rPr>
      </w:pPr>
      <w:r w:rsidRPr="001024F7">
        <w:rPr>
          <w:rFonts w:ascii="Arial" w:hAnsi="Arial" w:cs="Arial"/>
          <w:sz w:val="24"/>
          <w:lang w:eastAsia="es-MX"/>
        </w:rPr>
        <w:lastRenderedPageBreak/>
        <w:t>Tratamiento</w:t>
      </w:r>
    </w:p>
    <w:p w:rsidR="001C5E71" w:rsidRPr="001024F7" w:rsidRDefault="001C5E71" w:rsidP="001024F7">
      <w:pPr>
        <w:pStyle w:val="Prrafodelista"/>
        <w:numPr>
          <w:ilvl w:val="0"/>
          <w:numId w:val="6"/>
        </w:numPr>
        <w:jc w:val="both"/>
        <w:rPr>
          <w:rFonts w:ascii="Arial" w:hAnsi="Arial" w:cs="Arial"/>
          <w:sz w:val="24"/>
          <w:lang w:eastAsia="es-MX"/>
        </w:rPr>
      </w:pPr>
      <w:r w:rsidRPr="001024F7">
        <w:rPr>
          <w:rFonts w:ascii="Arial" w:hAnsi="Arial" w:cs="Arial"/>
          <w:sz w:val="24"/>
          <w:lang w:eastAsia="es-MX"/>
        </w:rPr>
        <w:t>Rehabilitación</w:t>
      </w:r>
    </w:p>
    <w:p w:rsidR="001C5E71" w:rsidRPr="001024F7" w:rsidRDefault="001C5E71" w:rsidP="001024F7">
      <w:pPr>
        <w:pStyle w:val="Prrafodelista"/>
        <w:numPr>
          <w:ilvl w:val="0"/>
          <w:numId w:val="6"/>
        </w:numPr>
        <w:jc w:val="both"/>
        <w:rPr>
          <w:rFonts w:ascii="Arial" w:hAnsi="Arial" w:cs="Arial"/>
          <w:sz w:val="24"/>
          <w:lang w:eastAsia="es-MX"/>
        </w:rPr>
      </w:pPr>
      <w:r w:rsidRPr="001024F7">
        <w:rPr>
          <w:rFonts w:ascii="Arial" w:hAnsi="Arial" w:cs="Arial"/>
          <w:sz w:val="24"/>
          <w:lang w:eastAsia="es-MX"/>
        </w:rPr>
        <w:t>Prevención de la discapacidad </w:t>
      </w:r>
    </w:p>
    <w:p w:rsidR="00FB0EBE" w:rsidRDefault="00FB0EBE" w:rsidP="00FB0EBE">
      <w:pPr>
        <w:pStyle w:val="Prrafodelista"/>
        <w:jc w:val="both"/>
        <w:rPr>
          <w:rFonts w:ascii="Arial" w:hAnsi="Arial" w:cs="Arial"/>
          <w:sz w:val="24"/>
        </w:rPr>
      </w:pPr>
    </w:p>
    <w:p w:rsidR="00FB0EBE" w:rsidRDefault="00FB0EBE" w:rsidP="00FB0EBE">
      <w:pPr>
        <w:pStyle w:val="Prrafodelista"/>
        <w:jc w:val="both"/>
        <w:rPr>
          <w:rFonts w:ascii="Arial" w:hAnsi="Arial" w:cs="Arial"/>
          <w:sz w:val="24"/>
        </w:rPr>
      </w:pPr>
    </w:p>
    <w:p w:rsidR="00FB0EBE" w:rsidRDefault="001C5E71" w:rsidP="00FB0EBE">
      <w:pPr>
        <w:jc w:val="both"/>
        <w:rPr>
          <w:rFonts w:ascii="Arial" w:hAnsi="Arial" w:cs="Arial"/>
          <w:sz w:val="24"/>
        </w:rPr>
      </w:pPr>
      <w:r w:rsidRPr="001C5E71">
        <w:rPr>
          <w:rFonts w:ascii="Arial" w:hAnsi="Arial" w:cs="Arial"/>
          <w:sz w:val="24"/>
        </w:rPr>
        <w:t>Existen varios determinantes de la salud, pero los principales se pueden divi</w:t>
      </w:r>
      <w:r w:rsidR="00FB0EBE" w:rsidRPr="001C5E71">
        <w:rPr>
          <w:rFonts w:ascii="Arial" w:hAnsi="Arial" w:cs="Arial"/>
          <w:sz w:val="24"/>
        </w:rPr>
        <w:t xml:space="preserve">dir </w:t>
      </w:r>
      <w:r w:rsidRPr="001C5E71">
        <w:rPr>
          <w:rFonts w:ascii="Arial" w:hAnsi="Arial" w:cs="Arial"/>
          <w:sz w:val="24"/>
        </w:rPr>
        <w:t>en dos grandes grupos: ge</w:t>
      </w:r>
      <w:r w:rsidR="00FB0EBE" w:rsidRPr="001C5E71">
        <w:rPr>
          <w:rFonts w:ascii="Arial" w:hAnsi="Arial" w:cs="Arial"/>
          <w:sz w:val="24"/>
        </w:rPr>
        <w:t>néticos y a</w:t>
      </w:r>
      <w:r w:rsidRPr="001C5E71">
        <w:rPr>
          <w:rFonts w:ascii="Arial" w:hAnsi="Arial" w:cs="Arial"/>
          <w:sz w:val="24"/>
        </w:rPr>
        <w:t>mbientales (físico, social y po</w:t>
      </w:r>
      <w:r w:rsidR="00FB0EBE" w:rsidRPr="001C5E71">
        <w:rPr>
          <w:rFonts w:ascii="Arial" w:hAnsi="Arial" w:cs="Arial"/>
          <w:sz w:val="24"/>
        </w:rPr>
        <w:t>lítico).</w:t>
      </w:r>
    </w:p>
    <w:p w:rsidR="001C5E71" w:rsidRDefault="001C5E71" w:rsidP="00FB0EBE">
      <w:pPr>
        <w:jc w:val="both"/>
        <w:rPr>
          <w:rFonts w:ascii="Arial" w:hAnsi="Arial" w:cs="Arial"/>
          <w:sz w:val="24"/>
          <w:szCs w:val="24"/>
        </w:rPr>
      </w:pPr>
      <w:r w:rsidRPr="001C5E71">
        <w:rPr>
          <w:rFonts w:ascii="Arial" w:hAnsi="Arial" w:cs="Arial"/>
          <w:sz w:val="24"/>
          <w:szCs w:val="24"/>
        </w:rPr>
        <w:t>Este modelo permite clasificar a los determinantes ambientales en un solo</w:t>
      </w:r>
      <w:r w:rsidRPr="001C5E71">
        <w:rPr>
          <w:rFonts w:ascii="Arial" w:hAnsi="Arial" w:cs="Arial"/>
          <w:sz w:val="24"/>
          <w:szCs w:val="24"/>
        </w:rPr>
        <w:t xml:space="preserve"> grupo, algo útil en la medida q</w:t>
      </w:r>
      <w:r w:rsidRPr="001C5E71">
        <w:rPr>
          <w:rFonts w:ascii="Arial" w:hAnsi="Arial" w:cs="Arial"/>
          <w:sz w:val="24"/>
          <w:szCs w:val="24"/>
        </w:rPr>
        <w:t>ue</w:t>
      </w:r>
      <w:r w:rsidRPr="001C5E71">
        <w:rPr>
          <w:rFonts w:ascii="Arial" w:hAnsi="Arial" w:cs="Arial"/>
          <w:sz w:val="24"/>
          <w:szCs w:val="24"/>
        </w:rPr>
        <w:t xml:space="preserve"> el am</w:t>
      </w:r>
      <w:r w:rsidRPr="001C5E71">
        <w:rPr>
          <w:rFonts w:ascii="Arial" w:hAnsi="Arial" w:cs="Arial"/>
          <w:sz w:val="24"/>
          <w:szCs w:val="24"/>
        </w:rPr>
        <w:t>biente también se resalta y esto tiene su importancia desde el punto de vista de la lucha frente a los determinantes: a priori es más</w:t>
      </w:r>
      <w:r w:rsidRPr="001C5E71">
        <w:rPr>
          <w:rFonts w:ascii="Arial" w:hAnsi="Arial" w:cs="Arial"/>
          <w:sz w:val="24"/>
          <w:szCs w:val="24"/>
        </w:rPr>
        <w:t xml:space="preserve"> fácil actuar sobre el medio am</w:t>
      </w:r>
      <w:r w:rsidRPr="001C5E71">
        <w:rPr>
          <w:rFonts w:ascii="Arial" w:hAnsi="Arial" w:cs="Arial"/>
          <w:sz w:val="24"/>
          <w:szCs w:val="24"/>
        </w:rPr>
        <w:t>biente q</w:t>
      </w:r>
      <w:r w:rsidRPr="001C5E71">
        <w:rPr>
          <w:rFonts w:ascii="Arial" w:hAnsi="Arial" w:cs="Arial"/>
          <w:sz w:val="24"/>
          <w:szCs w:val="24"/>
        </w:rPr>
        <w:t>ue sobre las características ge</w:t>
      </w:r>
      <w:r w:rsidRPr="001C5E71">
        <w:rPr>
          <w:rFonts w:ascii="Arial" w:hAnsi="Arial" w:cs="Arial"/>
          <w:sz w:val="24"/>
          <w:szCs w:val="24"/>
        </w:rPr>
        <w:t>néticas del sujeto.</w:t>
      </w:r>
    </w:p>
    <w:p w:rsidR="001C5E71" w:rsidRDefault="001C5E71" w:rsidP="00FB0EBE">
      <w:pPr>
        <w:jc w:val="both"/>
        <w:rPr>
          <w:rFonts w:ascii="Arial" w:hAnsi="Arial" w:cs="Arial"/>
          <w:sz w:val="24"/>
          <w:szCs w:val="24"/>
        </w:rPr>
      </w:pPr>
    </w:p>
    <w:p w:rsidR="001C5E71" w:rsidRPr="001C5E71" w:rsidRDefault="001C5E71" w:rsidP="001C5E71">
      <w:pPr>
        <w:jc w:val="both"/>
        <w:rPr>
          <w:rFonts w:ascii="Arial" w:hAnsi="Arial" w:cs="Arial"/>
          <w:sz w:val="24"/>
          <w:szCs w:val="24"/>
        </w:rPr>
      </w:pPr>
      <w:r w:rsidRPr="001C5E71">
        <w:rPr>
          <w:rFonts w:ascii="Arial" w:hAnsi="Arial" w:cs="Arial"/>
          <w:sz w:val="24"/>
          <w:szCs w:val="24"/>
        </w:rPr>
        <w:t>Un análisis más reciente indica que los factores del estilo de vida siguen siendo los principales determinantes en la década de 1990: en Estados Unidos el tabaco e s responsable del 19 % de las muertes, la dieta inadecuada en el 14 % y el cons</w:t>
      </w:r>
      <w:r w:rsidRPr="001C5E71">
        <w:rPr>
          <w:rFonts w:ascii="Arial" w:hAnsi="Arial" w:cs="Arial"/>
          <w:sz w:val="24"/>
          <w:szCs w:val="24"/>
        </w:rPr>
        <w:t>umo de alcohol del 5 %. En España</w:t>
      </w:r>
      <w:r w:rsidRPr="001C5E71">
        <w:rPr>
          <w:rFonts w:ascii="Arial" w:hAnsi="Arial" w:cs="Arial"/>
          <w:sz w:val="24"/>
          <w:szCs w:val="24"/>
        </w:rPr>
        <w:t>, la situación n</w:t>
      </w:r>
      <w:r w:rsidRPr="001C5E71">
        <w:rPr>
          <w:rFonts w:ascii="Arial" w:hAnsi="Arial" w:cs="Arial"/>
          <w:sz w:val="24"/>
          <w:szCs w:val="24"/>
        </w:rPr>
        <w:t>o es muy diferente de lo reflej</w:t>
      </w:r>
      <w:r w:rsidRPr="001C5E71">
        <w:rPr>
          <w:rFonts w:ascii="Arial" w:hAnsi="Arial" w:cs="Arial"/>
          <w:sz w:val="24"/>
          <w:szCs w:val="24"/>
        </w:rPr>
        <w:t>ado para Estados Unidos.</w:t>
      </w:r>
    </w:p>
    <w:p w:rsidR="001C5E71" w:rsidRPr="001C5E71" w:rsidRDefault="001C5E71" w:rsidP="001C5E71">
      <w:pPr>
        <w:jc w:val="both"/>
        <w:rPr>
          <w:rFonts w:ascii="Arial" w:hAnsi="Arial" w:cs="Arial"/>
          <w:sz w:val="24"/>
          <w:szCs w:val="24"/>
        </w:rPr>
      </w:pPr>
      <w:r w:rsidRPr="001C5E71">
        <w:rPr>
          <w:rFonts w:ascii="Arial" w:hAnsi="Arial" w:cs="Arial"/>
          <w:sz w:val="24"/>
          <w:szCs w:val="24"/>
          <w:shd w:val="clear" w:color="auto" w:fill="FFFFFF"/>
        </w:rPr>
        <w:t>La medicina preventiva toma la historia natural en toda su dimensión y hace que en ella opere la reorganización del conocimiento médico. Así, se trata inicialmente de definir una estructura. La primera estructura organiza la historia natural de las enfermedades en una totalidad que comprenda simultáneamente la presencia y la ausencia de la enfermedad. Totalidad que se articula con las fases y niveles de prevención, es decir, lo natural yuxtaponiéndose a lo técnico, el encuentro con la racionalidad de la intervención y del control.</w:t>
      </w:r>
    </w:p>
    <w:p w:rsidR="00705788" w:rsidRPr="001C5E71" w:rsidRDefault="00705788" w:rsidP="00FB0EBE">
      <w:pPr>
        <w:jc w:val="both"/>
        <w:rPr>
          <w:rFonts w:ascii="Arial" w:hAnsi="Arial" w:cs="Arial"/>
          <w:sz w:val="24"/>
          <w:szCs w:val="24"/>
        </w:rPr>
      </w:pPr>
    </w:p>
    <w:p w:rsidR="00F23822" w:rsidRPr="00FB0EBE" w:rsidRDefault="00F23822" w:rsidP="00FB0EBE">
      <w:pPr>
        <w:jc w:val="both"/>
        <w:rPr>
          <w:rFonts w:ascii="Arial" w:hAnsi="Arial" w:cs="Arial"/>
          <w:sz w:val="32"/>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DD024E" w:rsidRDefault="00DD024E" w:rsidP="001024F7">
      <w:pPr>
        <w:jc w:val="center"/>
        <w:rPr>
          <w:rFonts w:ascii="Stencil" w:hAnsi="Stencil" w:cs="Arial"/>
          <w:sz w:val="32"/>
        </w:rPr>
      </w:pPr>
    </w:p>
    <w:p w:rsidR="00DD024E" w:rsidRDefault="00DD024E" w:rsidP="001024F7">
      <w:pPr>
        <w:jc w:val="center"/>
        <w:rPr>
          <w:rFonts w:ascii="Stencil" w:hAnsi="Stencil" w:cs="Arial"/>
          <w:sz w:val="32"/>
        </w:rPr>
      </w:pPr>
    </w:p>
    <w:p w:rsidR="00F23822" w:rsidRDefault="001024F7" w:rsidP="001024F7">
      <w:pPr>
        <w:jc w:val="center"/>
        <w:rPr>
          <w:rFonts w:ascii="Stencil" w:hAnsi="Stencil" w:cs="Arial"/>
          <w:sz w:val="32"/>
        </w:rPr>
      </w:pPr>
      <w:bookmarkStart w:id="0" w:name="_GoBack"/>
      <w:bookmarkEnd w:id="0"/>
      <w:r>
        <w:rPr>
          <w:rFonts w:ascii="Stencil" w:hAnsi="Stencil" w:cs="Arial"/>
          <w:sz w:val="32"/>
        </w:rPr>
        <w:t xml:space="preserve">Referencias </w:t>
      </w:r>
    </w:p>
    <w:p w:rsidR="001024F7" w:rsidRDefault="001024F7" w:rsidP="001024F7">
      <w:pPr>
        <w:jc w:val="center"/>
        <w:rPr>
          <w:rFonts w:ascii="Stencil" w:hAnsi="Stencil" w:cs="Arial"/>
          <w:sz w:val="32"/>
        </w:rPr>
      </w:pPr>
    </w:p>
    <w:p w:rsidR="001024F7" w:rsidRDefault="001024F7" w:rsidP="001024F7">
      <w:pPr>
        <w:jc w:val="center"/>
        <w:rPr>
          <w:rFonts w:ascii="Arial" w:hAnsi="Arial" w:cs="Arial"/>
          <w:sz w:val="24"/>
        </w:rPr>
      </w:pPr>
      <w:r>
        <w:rPr>
          <w:rFonts w:ascii="Arial" w:hAnsi="Arial" w:cs="Arial"/>
          <w:sz w:val="24"/>
        </w:rPr>
        <w:lastRenderedPageBreak/>
        <w:t>Manual de epidemiología y salud pública Panamericana</w:t>
      </w:r>
      <w:proofErr w:type="gramStart"/>
      <w:r w:rsidRPr="001024F7">
        <w:rPr>
          <w:rFonts w:ascii="Arial" w:hAnsi="Arial" w:cs="Arial"/>
          <w:sz w:val="24"/>
        </w:rPr>
        <w:t>..</w:t>
      </w:r>
      <w:proofErr w:type="spellStart"/>
      <w:r w:rsidRPr="001024F7">
        <w:rPr>
          <w:rFonts w:ascii="Arial" w:hAnsi="Arial" w:cs="Arial"/>
          <w:sz w:val="24"/>
        </w:rPr>
        <w:t>pdf</w:t>
      </w:r>
      <w:proofErr w:type="spellEnd"/>
      <w:proofErr w:type="gramEnd"/>
    </w:p>
    <w:p w:rsidR="001024F7" w:rsidRDefault="001024F7" w:rsidP="001024F7">
      <w:pPr>
        <w:jc w:val="center"/>
        <w:rPr>
          <w:rFonts w:ascii="Arial" w:hAnsi="Arial" w:cs="Arial"/>
          <w:sz w:val="24"/>
        </w:rPr>
      </w:pPr>
    </w:p>
    <w:p w:rsidR="001024F7" w:rsidRDefault="001024F7" w:rsidP="001024F7">
      <w:pPr>
        <w:jc w:val="center"/>
        <w:rPr>
          <w:rFonts w:ascii="Arial" w:hAnsi="Arial" w:cs="Arial"/>
          <w:sz w:val="24"/>
        </w:rPr>
      </w:pPr>
      <w:hyperlink r:id="rId6" w:history="1">
        <w:r w:rsidRPr="004F39CF">
          <w:rPr>
            <w:rStyle w:val="Hipervnculo"/>
            <w:rFonts w:ascii="Arial" w:hAnsi="Arial" w:cs="Arial"/>
            <w:sz w:val="24"/>
          </w:rPr>
          <w:t>https://sintesis.med.uchile.cl/condiciones-clinicas/salud-publica/salud-publica-conocimientos-generales</w:t>
        </w:r>
      </w:hyperlink>
    </w:p>
    <w:p w:rsidR="001024F7" w:rsidRDefault="001024F7" w:rsidP="001024F7">
      <w:pPr>
        <w:jc w:val="center"/>
        <w:rPr>
          <w:rFonts w:ascii="Arial" w:hAnsi="Arial" w:cs="Arial"/>
          <w:sz w:val="24"/>
        </w:rPr>
      </w:pPr>
    </w:p>
    <w:p w:rsidR="001024F7" w:rsidRPr="001024F7" w:rsidRDefault="001024F7" w:rsidP="001024F7">
      <w:pPr>
        <w:jc w:val="center"/>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Default="00F23822" w:rsidP="0055012F">
      <w:pPr>
        <w:jc w:val="both"/>
        <w:rPr>
          <w:rFonts w:ascii="Arial" w:hAnsi="Arial" w:cs="Arial"/>
          <w:sz w:val="24"/>
        </w:rPr>
      </w:pPr>
    </w:p>
    <w:p w:rsidR="00F23822" w:rsidRPr="0055012F" w:rsidRDefault="00F23822" w:rsidP="0055012F">
      <w:pPr>
        <w:jc w:val="both"/>
        <w:rPr>
          <w:rFonts w:ascii="Arial" w:hAnsi="Arial" w:cs="Arial"/>
          <w:sz w:val="24"/>
        </w:rPr>
      </w:pPr>
    </w:p>
    <w:sectPr w:rsidR="00F23822" w:rsidRPr="005501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31462"/>
    <w:multiLevelType w:val="multilevel"/>
    <w:tmpl w:val="5476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31B4C"/>
    <w:multiLevelType w:val="hybridMultilevel"/>
    <w:tmpl w:val="DF1A9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694BDF"/>
    <w:multiLevelType w:val="hybridMultilevel"/>
    <w:tmpl w:val="DED89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41A0C3B"/>
    <w:multiLevelType w:val="multilevel"/>
    <w:tmpl w:val="CEB2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A04EB8"/>
    <w:multiLevelType w:val="multilevel"/>
    <w:tmpl w:val="677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05AEC"/>
    <w:multiLevelType w:val="hybridMultilevel"/>
    <w:tmpl w:val="88802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2F"/>
    <w:rsid w:val="001024F7"/>
    <w:rsid w:val="001C5E71"/>
    <w:rsid w:val="004A7345"/>
    <w:rsid w:val="0055012F"/>
    <w:rsid w:val="00705788"/>
    <w:rsid w:val="00DD024E"/>
    <w:rsid w:val="00E77DE0"/>
    <w:rsid w:val="00F23822"/>
    <w:rsid w:val="00FB0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6DFD4-0D60-492F-8D77-03EBB358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788"/>
    <w:pPr>
      <w:ind w:left="720"/>
      <w:contextualSpacing/>
    </w:pPr>
  </w:style>
  <w:style w:type="paragraph" w:styleId="Sinespaciado">
    <w:name w:val="No Spacing"/>
    <w:uiPriority w:val="1"/>
    <w:qFormat/>
    <w:rsid w:val="001C5E71"/>
    <w:pPr>
      <w:spacing w:after="0" w:line="240" w:lineRule="auto"/>
    </w:pPr>
  </w:style>
  <w:style w:type="character" w:styleId="Hipervnculo">
    <w:name w:val="Hyperlink"/>
    <w:basedOn w:val="Fuentedeprrafopredeter"/>
    <w:uiPriority w:val="99"/>
    <w:unhideWhenUsed/>
    <w:rsid w:val="00102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ntesis.med.uchile.cl/condiciones-clinicas/salud-publica/salud-publica-conocimientos-general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UDS TUXTLA</dc:creator>
  <cp:keywords/>
  <dc:description/>
  <cp:lastModifiedBy>UDS TUXTLA</cp:lastModifiedBy>
  <cp:revision>2</cp:revision>
  <cp:lastPrinted>2024-09-10T05:06:00Z</cp:lastPrinted>
  <dcterms:created xsi:type="dcterms:W3CDTF">2024-09-10T05:07:00Z</dcterms:created>
  <dcterms:modified xsi:type="dcterms:W3CDTF">2024-09-10T05:07:00Z</dcterms:modified>
</cp:coreProperties>
</file>