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66934" w:rsidRDefault="00F63790">
      <w:pPr>
        <w:spacing w:after="64" w:line="259" w:lineRule="auto"/>
        <w:ind w:left="76" w:firstLine="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4277564</wp:posOffset>
            </wp:positionH>
            <wp:positionV relativeFrom="paragraph">
              <wp:posOffset>-10667</wp:posOffset>
            </wp:positionV>
            <wp:extent cx="1709928" cy="696468"/>
            <wp:effectExtent l="0" t="0" r="0" b="0"/>
            <wp:wrapSquare wrapText="bothSides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09928" cy="696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93420" cy="800100"/>
                <wp:effectExtent l="0" t="0" r="0" b="0"/>
                <wp:docPr id="5926" name="Group 5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" cy="800100"/>
                          <a:chOff x="0" y="0"/>
                          <a:chExt cx="693420" cy="8001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" cy="800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305" y="261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34" w:rsidRDefault="00F637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2309" y="261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34" w:rsidRDefault="00F637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2789" y="2616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34" w:rsidRDefault="00F637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05" y="3111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66934" w:rsidRDefault="00F637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926" style="width:54.6pt;height:63pt;mso-position-horizontal-relative:char;mso-position-vertical-relative:line" coordsize="6934,8001">
                <v:shape id="Picture 11" style="position:absolute;width:6934;height:8001;left:0;top:0;" filled="f">
                  <v:imagedata r:id="rId7"/>
                </v:shape>
                <v:rect id="Rectangle 14" style="position:absolute;width:421;height:1899;left:3;top: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" style="position:absolute;width:421;height:1899;left:323;top: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style="position:absolute;width:421;height:1899;left:627;top: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421;height:1899;left:3;top:3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326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tabs>
          <w:tab w:val="center" w:pos="4753"/>
        </w:tabs>
        <w:spacing w:after="0" w:line="259" w:lineRule="auto"/>
        <w:ind w:left="0" w:firstLine="0"/>
      </w:pPr>
      <w:r>
        <w:rPr>
          <w:rFonts w:ascii="Calibri" w:eastAsia="Calibri" w:hAnsi="Calibri" w:cs="Calibri"/>
          <w:sz w:val="34"/>
          <w:vertAlign w:val="superscript"/>
        </w:rPr>
        <w:t xml:space="preserve"> </w:t>
      </w:r>
      <w:r>
        <w:rPr>
          <w:rFonts w:ascii="Calibri" w:eastAsia="Calibri" w:hAnsi="Calibri" w:cs="Calibri"/>
          <w:sz w:val="34"/>
          <w:vertAlign w:val="superscript"/>
        </w:rPr>
        <w:tab/>
      </w:r>
      <w:r>
        <w:rPr>
          <w:sz w:val="36"/>
        </w:rPr>
        <w:t>Bioquímica</w:t>
      </w:r>
      <w:r>
        <w:rPr>
          <w:sz w:val="40"/>
        </w:rPr>
        <w:t xml:space="preserve">  </w:t>
      </w:r>
    </w:p>
    <w:p w:rsidR="00966934" w:rsidRDefault="00F63790">
      <w:pPr>
        <w:spacing w:after="0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0" w:line="259" w:lineRule="auto"/>
        <w:ind w:left="10" w:right="396"/>
        <w:jc w:val="center"/>
      </w:pPr>
      <w:r>
        <w:rPr>
          <w:sz w:val="36"/>
        </w:rPr>
        <w:t xml:space="preserve">1°er semestre  </w:t>
      </w:r>
    </w:p>
    <w:p w:rsidR="00966934" w:rsidRDefault="00F63790">
      <w:pPr>
        <w:spacing w:after="222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tabs>
          <w:tab w:val="center" w:pos="4516"/>
        </w:tabs>
        <w:spacing w:after="63" w:line="259" w:lineRule="auto"/>
        <w:ind w:left="0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sz w:val="36"/>
        </w:rPr>
        <w:t xml:space="preserve">1°” D” </w:t>
      </w:r>
    </w:p>
    <w:p w:rsidR="00966934" w:rsidRDefault="00F63790">
      <w:pPr>
        <w:spacing w:after="11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sz w:val="36"/>
        </w:rPr>
        <w:t xml:space="preserve"> </w:t>
      </w:r>
    </w:p>
    <w:p w:rsidR="00966934" w:rsidRDefault="00F63790">
      <w:pPr>
        <w:spacing w:after="11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0" w:line="259" w:lineRule="auto"/>
        <w:ind w:left="10" w:right="397"/>
        <w:jc w:val="center"/>
      </w:pPr>
      <w:r>
        <w:rPr>
          <w:sz w:val="36"/>
        </w:rPr>
        <w:t xml:space="preserve">Reporte de práctica 1: </w:t>
      </w:r>
    </w:p>
    <w:p w:rsidR="00966934" w:rsidRDefault="00F63790">
      <w:pPr>
        <w:spacing w:after="167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0" w:line="260" w:lineRule="auto"/>
        <w:ind w:left="0" w:right="615" w:firstLine="0"/>
        <w:jc w:val="center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36"/>
        </w:rPr>
        <w:t xml:space="preserve">Venopunción sanguínea y su relación con la </w:t>
      </w: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</w:r>
      <w:r>
        <w:rPr>
          <w:b/>
          <w:sz w:val="36"/>
        </w:rPr>
        <w:t xml:space="preserve">bioquímica médica.  </w:t>
      </w:r>
    </w:p>
    <w:p w:rsidR="00966934" w:rsidRDefault="00F63790">
      <w:pPr>
        <w:spacing w:after="0" w:line="259" w:lineRule="auto"/>
        <w:ind w:left="77" w:right="174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0" w:line="259" w:lineRule="auto"/>
        <w:ind w:left="1336" w:firstLine="0"/>
      </w:pPr>
      <w:r>
        <w:rPr>
          <w:noProof/>
        </w:rPr>
        <w:drawing>
          <wp:inline distT="0" distB="0" distL="0" distR="0">
            <wp:extent cx="4030980" cy="1929384"/>
            <wp:effectExtent l="0" t="0" r="0" b="0"/>
            <wp:docPr id="13" name="Pictu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30980" cy="1929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34" w:rsidRDefault="00F63790">
      <w:pPr>
        <w:spacing w:after="160" w:line="259" w:lineRule="auto"/>
        <w:ind w:left="77" w:right="1742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305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0" w:line="259" w:lineRule="auto"/>
        <w:ind w:left="72"/>
      </w:pPr>
      <w:r>
        <w:rPr>
          <w:rFonts w:ascii="Calibri" w:eastAsia="Calibri" w:hAnsi="Calibri" w:cs="Calibri"/>
          <w:sz w:val="28"/>
          <w:vertAlign w:val="superscript"/>
        </w:rPr>
        <w:t xml:space="preserve"> </w:t>
      </w:r>
      <w:r>
        <w:rPr>
          <w:sz w:val="28"/>
        </w:rPr>
        <w:t xml:space="preserve">Universidad del Sureste.  </w:t>
      </w:r>
    </w:p>
    <w:p w:rsidR="00966934" w:rsidRDefault="00F63790">
      <w:pPr>
        <w:spacing w:after="0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0" w:line="259" w:lineRule="auto"/>
        <w:ind w:left="236"/>
      </w:pPr>
      <w:r>
        <w:rPr>
          <w:sz w:val="28"/>
        </w:rPr>
        <w:t xml:space="preserve">Licenciatura: Medicina Humana. </w:t>
      </w:r>
    </w:p>
    <w:p w:rsidR="00966934" w:rsidRDefault="00F63790">
      <w:pPr>
        <w:spacing w:after="0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0" w:line="259" w:lineRule="auto"/>
        <w:ind w:left="236"/>
      </w:pPr>
      <w:r>
        <w:rPr>
          <w:sz w:val="28"/>
        </w:rPr>
        <w:t xml:space="preserve">Catedrático: Aldrin de Jesús Maldonado Velasco. </w:t>
      </w:r>
    </w:p>
    <w:p w:rsidR="00966934" w:rsidRDefault="00F63790">
      <w:pPr>
        <w:spacing w:after="19" w:line="259" w:lineRule="auto"/>
        <w:ind w:left="77" w:firstLine="0"/>
        <w:jc w:val="both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rFonts w:ascii="Calibri" w:eastAsia="Calibri" w:hAnsi="Calibri" w:cs="Calibri"/>
          <w:sz w:val="22"/>
        </w:rPr>
        <w:tab/>
        <w:t xml:space="preserve"> </w:t>
      </w:r>
    </w:p>
    <w:p w:rsidR="00966934" w:rsidRDefault="00F63790">
      <w:pPr>
        <w:spacing w:after="0" w:line="259" w:lineRule="auto"/>
        <w:ind w:left="236"/>
      </w:pPr>
      <w:r>
        <w:rPr>
          <w:sz w:val="28"/>
        </w:rPr>
        <w:t xml:space="preserve">Alumnos:  </w:t>
      </w:r>
    </w:p>
    <w:p w:rsidR="00966934" w:rsidRDefault="00F63790">
      <w:pPr>
        <w:spacing w:after="106" w:line="259" w:lineRule="auto"/>
        <w:ind w:left="77" w:firstLine="0"/>
      </w:pPr>
      <w:r>
        <w:rPr>
          <w:rFonts w:ascii="Calibri" w:eastAsia="Calibri" w:hAnsi="Calibri" w:cs="Calibri"/>
          <w:sz w:val="22"/>
        </w:rPr>
        <w:t xml:space="preserve"> </w:t>
      </w:r>
    </w:p>
    <w:p w:rsidR="00966934" w:rsidRDefault="00F63790">
      <w:pPr>
        <w:spacing w:after="219" w:line="259" w:lineRule="auto"/>
        <w:ind w:left="72"/>
      </w:pPr>
      <w:r>
        <w:rPr>
          <w:rFonts w:ascii="Calibri" w:eastAsia="Calibri" w:hAnsi="Calibri" w:cs="Calibri"/>
          <w:sz w:val="22"/>
        </w:rPr>
        <w:t xml:space="preserve"> </w:t>
      </w:r>
      <w:r>
        <w:rPr>
          <w:sz w:val="28"/>
        </w:rPr>
        <w:t xml:space="preserve">Luis Eduardo Gordillo Aguilar; </w:t>
      </w:r>
    </w:p>
    <w:p w:rsidR="00966934" w:rsidRDefault="00F63790">
      <w:pPr>
        <w:spacing w:after="41" w:line="259" w:lineRule="auto"/>
        <w:ind w:left="211" w:right="5364" w:hanging="149"/>
      </w:pPr>
      <w:r>
        <w:rPr>
          <w:rFonts w:ascii="Calibri" w:eastAsia="Calibri" w:hAnsi="Calibri" w:cs="Calibri"/>
          <w:sz w:val="22"/>
        </w:rPr>
        <w:lastRenderedPageBreak/>
        <w:t xml:space="preserve"> </w:t>
      </w:r>
      <w:r>
        <w:rPr>
          <w:sz w:val="28"/>
        </w:rPr>
        <w:t xml:space="preserve">Dominique Grace Moguel Santis. </w:t>
      </w:r>
      <w:r>
        <w:rPr>
          <w:rFonts w:ascii="Bahnschrift" w:eastAsia="Bahnschrift" w:hAnsi="Bahnschrift" w:cs="Bahnschrift"/>
          <w:b/>
          <w:sz w:val="56"/>
        </w:rPr>
        <w:t xml:space="preserve"> </w:t>
      </w:r>
    </w:p>
    <w:p w:rsidR="00966934" w:rsidRDefault="00F63790">
      <w:pPr>
        <w:spacing w:after="171"/>
      </w:pPr>
      <w:r>
        <w:t xml:space="preserve">Introducción: </w:t>
      </w:r>
    </w:p>
    <w:p w:rsidR="00966934" w:rsidRDefault="00F63790">
      <w:pPr>
        <w:spacing w:after="169"/>
        <w:ind w:left="355"/>
      </w:pPr>
      <w:r>
        <w:t xml:space="preserve">En  este  </w:t>
      </w:r>
      <w:r>
        <w:t xml:space="preserve">reporte  hablaremos  sobre  la  venopunción  que  es  la  extracción  de  sangre  de  una  vena  que  por  lo  general  se  deben  extraer  entre  5  a  25ml,  considerando  la  prueba  que  se vaya  a  realizar. </w:t>
      </w:r>
    </w:p>
    <w:p w:rsidR="00966934" w:rsidRDefault="00F63790">
      <w:pPr>
        <w:spacing w:after="166"/>
        <w:ind w:left="355"/>
      </w:pPr>
      <w:r>
        <w:t xml:space="preserve">Las  pruebas  más  comunes  son: </w:t>
      </w:r>
    </w:p>
    <w:p w:rsidR="00966934" w:rsidRDefault="00F63790">
      <w:pPr>
        <w:spacing w:after="6" w:line="396" w:lineRule="auto"/>
        <w:ind w:left="355" w:right="5935"/>
      </w:pPr>
      <w:r>
        <w:t xml:space="preserve">La  biometría hemática; Muestra sanguínea. </w:t>
      </w:r>
    </w:p>
    <w:p w:rsidR="00966934" w:rsidRDefault="00F63790">
      <w:pPr>
        <w:spacing w:after="365"/>
        <w:ind w:left="355"/>
      </w:pPr>
      <w:r>
        <w:t>Según (MedlinePlus, n.d.)</w:t>
      </w:r>
      <w:r>
        <w:rPr>
          <w:rFonts w:ascii="Arial" w:eastAsia="Arial" w:hAnsi="Arial" w:cs="Arial"/>
        </w:rPr>
        <w:t>, l</w:t>
      </w:r>
      <w:r>
        <w:t xml:space="preserve">a  sangre  está  compuesta  de  dos  partes: </w:t>
      </w:r>
    </w:p>
    <w:p w:rsidR="00966934" w:rsidRDefault="00F63790">
      <w:pPr>
        <w:numPr>
          <w:ilvl w:val="0"/>
          <w:numId w:val="1"/>
        </w:numPr>
        <w:spacing w:after="236"/>
        <w:ind w:hanging="360"/>
      </w:pPr>
      <w:r>
        <w:t xml:space="preserve">Líquido (plasma o suero) </w:t>
      </w:r>
    </w:p>
    <w:p w:rsidR="00966934" w:rsidRDefault="00F63790">
      <w:pPr>
        <w:numPr>
          <w:ilvl w:val="0"/>
          <w:numId w:val="1"/>
        </w:numPr>
        <w:spacing w:after="192"/>
        <w:ind w:hanging="360"/>
      </w:pPr>
      <w:r>
        <w:t xml:space="preserve">Células </w:t>
      </w:r>
    </w:p>
    <w:p w:rsidR="00966934" w:rsidRDefault="00F63790">
      <w:pPr>
        <w:spacing w:after="333"/>
        <w:ind w:left="355"/>
      </w:pPr>
      <w:r>
        <w:t xml:space="preserve">El  plasma  es  la  parte  líquida  de  la  sangre  en  el  torrente </w:t>
      </w:r>
      <w:r>
        <w:t xml:space="preserve"> sanguíneo  que  contiene substancias  como  glucosa,  electrólitos,  proteínas  y  agua.  El  suero  es  la  parte  líquida  que queda  después  de  que  la  sangre  se  deja  coagular  en  un  tubo  de  ensayo. </w:t>
      </w:r>
    </w:p>
    <w:p w:rsidR="00966934" w:rsidRDefault="00F63790">
      <w:pPr>
        <w:spacing w:after="331"/>
        <w:ind w:left="355" w:right="257"/>
      </w:pPr>
      <w:r>
        <w:t>Las  células  de  la  sangre  abarcan  gló</w:t>
      </w:r>
      <w:r>
        <w:t xml:space="preserve">bulos  rojos,  glóbulos  blancos  y  plaquetas, la  sangre  ayuda  a  movilizar  el  oxígeno,  los nutrientes,  los residuos  y  otros  materiales  por   el  cuerpo.  Asimismo,  ayuda  a  controlar  la  temperatura  corporal,  el  equilibrio  de  líquidos </w:t>
      </w:r>
      <w:r>
        <w:t xml:space="preserve">y  el  equilibrio  acido-básico  del  cuerpo. </w:t>
      </w:r>
    </w:p>
    <w:p w:rsidR="00966934" w:rsidRDefault="00F63790">
      <w:pPr>
        <w:spacing w:after="353"/>
        <w:ind w:left="355"/>
      </w:pPr>
      <w:r>
        <w:t>Los  exámenes  hechos  en  la  sangre  o  en  partes  de  esta  le  pueden  suministrar  claves importantes  acerca  de  su  salud  a  su  proveedor.</w:t>
      </w:r>
      <w:r>
        <w:rPr>
          <w:rFonts w:ascii="Calibri" w:eastAsia="Calibri" w:hAnsi="Calibri" w:cs="Calibri"/>
          <w:sz w:val="22"/>
        </w:rPr>
        <w:t xml:space="preserve">  </w:t>
      </w:r>
    </w:p>
    <w:p w:rsidR="00966934" w:rsidRDefault="00F63790">
      <w:pPr>
        <w:spacing w:after="332"/>
        <w:ind w:left="355"/>
      </w:pPr>
      <w:r>
        <w:rPr>
          <w:rFonts w:ascii="Calibri" w:eastAsia="Calibri" w:hAnsi="Calibri" w:cs="Calibri"/>
          <w:sz w:val="22"/>
        </w:rPr>
        <w:t>Según (Ieqfb, n.d</w:t>
      </w:r>
      <w:r>
        <w:t>.),  El  análisis  de  sangre  o  tambié</w:t>
      </w:r>
      <w:r>
        <w:t xml:space="preserve">n  conocido  como  hemograma  se  realiza,  o  debería,  periódicamente,  ya  que  mide  la  composición  de  la  sangre  y  permite  valorar diferentes  marcadores  en  el  campo  de  la </w:t>
      </w:r>
      <w:hyperlink r:id="rId9">
        <w:r>
          <w:t xml:space="preserve"> </w:t>
        </w:r>
      </w:hyperlink>
      <w:hyperlink r:id="rId10">
        <w:r>
          <w:t>hematología</w:t>
        </w:r>
      </w:hyperlink>
      <w:hyperlink r:id="rId11">
        <w:r>
          <w:t>.</w:t>
        </w:r>
      </w:hyperlink>
      <w:r>
        <w:t xml:space="preserve">  Además,  si  la  interpretación  de  los resultados  es  completa,  aporta  resultados  muy  relevantes  para  la  salud. </w:t>
      </w:r>
    </w:p>
    <w:p w:rsidR="00966934" w:rsidRDefault="00F63790">
      <w:pPr>
        <w:spacing w:after="357"/>
        <w:ind w:left="355"/>
      </w:pPr>
      <w:r>
        <w:t>Según  las  literaturas  la  medicin</w:t>
      </w:r>
      <w:r>
        <w:t>a  y  la  toma  de  muestras  sanguíneas  están  profundamente interrelacionadas,  ya  que  la  extracción  de  sangre  es  una  herramienta  fundamental  en  el  diagnóstico,  monitoreo  y  tratamiento  de  diversas  condiciones  de  salud  como  por  eje</w:t>
      </w:r>
      <w:r>
        <w:t xml:space="preserve">mplo  en: </w:t>
      </w:r>
    </w:p>
    <w:p w:rsidR="00966934" w:rsidRDefault="00F63790">
      <w:pPr>
        <w:numPr>
          <w:ilvl w:val="0"/>
          <w:numId w:val="2"/>
        </w:numPr>
        <w:spacing w:after="0"/>
        <w:ind w:hanging="360"/>
      </w:pPr>
      <w:r>
        <w:t xml:space="preserve">Diagnóstico  de  Enfermedades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Pruebas  Específicas: 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 xml:space="preserve">Monitoreo  del  Estado  de  Salud </w:t>
      </w:r>
    </w:p>
    <w:p w:rsidR="00966934" w:rsidRDefault="00F63790">
      <w:pPr>
        <w:numPr>
          <w:ilvl w:val="0"/>
          <w:numId w:val="2"/>
        </w:numPr>
        <w:spacing w:after="221"/>
        <w:ind w:hanging="360"/>
      </w:pPr>
      <w:r>
        <w:t xml:space="preserve">Detección  de  Factores  de  Riesgo </w:t>
      </w:r>
    </w:p>
    <w:p w:rsidR="00966934" w:rsidRDefault="00F63790">
      <w:pPr>
        <w:spacing w:after="0" w:line="259" w:lineRule="auto"/>
        <w:ind w:left="77" w:firstLine="0"/>
      </w:pPr>
      <w:r>
        <w:t xml:space="preserve"> </w:t>
      </w:r>
    </w:p>
    <w:p w:rsidR="00966934" w:rsidRDefault="00F63790">
      <w:pPr>
        <w:spacing w:after="252" w:line="259" w:lineRule="auto"/>
        <w:ind w:left="360" w:firstLine="0"/>
      </w:pPr>
      <w:r>
        <w:rPr>
          <w:b/>
        </w:rPr>
        <w:t xml:space="preserve">Objetivos </w:t>
      </w:r>
    </w:p>
    <w:p w:rsidR="00966934" w:rsidRDefault="00F63790">
      <w:pPr>
        <w:ind w:left="355"/>
      </w:pPr>
      <w:r>
        <w:t xml:space="preserve">Objetivo  general: </w:t>
      </w:r>
    </w:p>
    <w:p w:rsidR="00966934" w:rsidRDefault="00F63790">
      <w:pPr>
        <w:ind w:left="355"/>
      </w:pPr>
      <w:r>
        <w:lastRenderedPageBreak/>
        <w:t xml:space="preserve">Aprender  la  técnica  correcta  de  extracción  </w:t>
      </w:r>
      <w:r>
        <w:t xml:space="preserve">sanguínea (arterial y venosa) con  el  fin  de  evitar lesiones  en  el  paciente,  así  como  identificar  los  diferentes  sitios  de  punción  donde pueden  realizarse. 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ind w:left="355"/>
      </w:pPr>
      <w:r>
        <w:t xml:space="preserve">Objetivo  específicos: </w:t>
      </w:r>
    </w:p>
    <w:p w:rsidR="00966934" w:rsidRDefault="00F63790">
      <w:pPr>
        <w:spacing w:after="291"/>
        <w:ind w:left="355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>Conocer  los  Protocolos  y  Normas:</w:t>
      </w:r>
      <w:r>
        <w:rPr>
          <w:b/>
        </w:rPr>
        <w:t xml:space="preserve">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>Preparación  Adecuada  del  Paciente:</w:t>
      </w:r>
      <w:r>
        <w:rPr>
          <w:b/>
        </w:rPr>
        <w:t xml:space="preserve">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>Selección  y  Preparación  del  Material:</w:t>
      </w:r>
      <w:r>
        <w:rPr>
          <w:b/>
        </w:rPr>
        <w:t xml:space="preserve">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>Técnicas  Correctas  de  Extracción:</w:t>
      </w:r>
      <w:r>
        <w:rPr>
          <w:b/>
        </w:rPr>
        <w:t xml:space="preserve">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>Manejo  y  Procesamiento  de  Muestras:</w:t>
      </w:r>
      <w:r>
        <w:rPr>
          <w:b/>
        </w:rPr>
        <w:t xml:space="preserve">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>Identificación  y  Manejo  de  Complicaciones:</w:t>
      </w:r>
      <w:r>
        <w:rPr>
          <w:b/>
        </w:rPr>
        <w:t xml:space="preserve">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>Comunicación  Efectiva:</w:t>
      </w:r>
      <w:r>
        <w:rPr>
          <w:b/>
        </w:rPr>
        <w:t xml:space="preserve"> </w:t>
      </w:r>
    </w:p>
    <w:p w:rsidR="00966934" w:rsidRDefault="00F63790">
      <w:pPr>
        <w:numPr>
          <w:ilvl w:val="0"/>
          <w:numId w:val="2"/>
        </w:numPr>
        <w:spacing w:after="223"/>
        <w:ind w:hanging="360"/>
      </w:pPr>
      <w:r>
        <w:t>Registro  y  Documenta</w:t>
      </w:r>
      <w:r>
        <w:t xml:space="preserve">ción: </w:t>
      </w:r>
    </w:p>
    <w:p w:rsidR="00966934" w:rsidRDefault="00F63790">
      <w:pPr>
        <w:spacing w:after="257" w:line="259" w:lineRule="auto"/>
        <w:ind w:left="797" w:firstLine="0"/>
      </w:pPr>
      <w:r>
        <w:t xml:space="preserve"> </w:t>
      </w:r>
    </w:p>
    <w:p w:rsidR="00966934" w:rsidRDefault="00F63790">
      <w:pPr>
        <w:ind w:left="447"/>
      </w:pPr>
      <w:r>
        <w:t xml:space="preserve">2.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 xml:space="preserve">Elección  del  Equipo  Adecuado: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 xml:space="preserve">Técnicas  de  Punción: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 xml:space="preserve">Aseguramiento  de  la  Calidad: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 xml:space="preserve">Procedimientos  de  Post-Extracción: </w:t>
      </w:r>
    </w:p>
    <w:p w:rsidR="00966934" w:rsidRDefault="00F63790">
      <w:pPr>
        <w:numPr>
          <w:ilvl w:val="0"/>
          <w:numId w:val="2"/>
        </w:numPr>
        <w:spacing w:after="10"/>
        <w:ind w:hanging="360"/>
      </w:pPr>
      <w:r>
        <w:t xml:space="preserve">Manejo  de  Situaciones Especiales: </w:t>
      </w:r>
    </w:p>
    <w:p w:rsidR="00966934" w:rsidRDefault="00F63790">
      <w:pPr>
        <w:numPr>
          <w:ilvl w:val="0"/>
          <w:numId w:val="2"/>
        </w:numPr>
        <w:spacing w:after="236"/>
        <w:ind w:hanging="360"/>
      </w:pPr>
      <w:r>
        <w:t xml:space="preserve">Cumplimiento  de  la  Regulación  y  Documentación: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Educación  </w:t>
      </w:r>
      <w:r>
        <w:t xml:space="preserve">Continua: </w:t>
      </w:r>
    </w:p>
    <w:p w:rsidR="00966934" w:rsidRDefault="00F63790">
      <w:pPr>
        <w:spacing w:after="0" w:line="259" w:lineRule="auto"/>
        <w:ind w:left="360" w:firstLine="0"/>
      </w:pPr>
      <w:r>
        <w:t xml:space="preserve"> </w:t>
      </w:r>
    </w:p>
    <w:p w:rsidR="00966934" w:rsidRDefault="00F63790">
      <w:pPr>
        <w:ind w:left="355"/>
      </w:pPr>
      <w:r>
        <w:t xml:space="preserve">Anexo: Diagrama de Flujo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0" w:line="259" w:lineRule="auto"/>
        <w:ind w:left="360" w:right="1350" w:firstLine="0"/>
      </w:pPr>
      <w:r>
        <w:t xml:space="preserve"> </w:t>
      </w:r>
    </w:p>
    <w:p w:rsidR="00966934" w:rsidRDefault="00F63790">
      <w:pPr>
        <w:spacing w:after="0" w:line="259" w:lineRule="auto"/>
        <w:ind w:left="1142" w:firstLine="0"/>
      </w:pPr>
      <w:r>
        <w:rPr>
          <w:noProof/>
        </w:rPr>
        <w:lastRenderedPageBreak/>
        <w:drawing>
          <wp:inline distT="0" distB="0" distL="0" distR="0">
            <wp:extent cx="4402836" cy="6333744"/>
            <wp:effectExtent l="0" t="0" r="0" b="0"/>
            <wp:docPr id="675" name="Picture 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" name="Picture 67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02836" cy="633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34" w:rsidRDefault="00F63790">
      <w:pPr>
        <w:spacing w:after="130" w:line="259" w:lineRule="auto"/>
        <w:ind w:left="1089" w:right="-303" w:firstLine="0"/>
      </w:pPr>
      <w:r>
        <w:rPr>
          <w:noProof/>
        </w:rPr>
        <w:lastRenderedPageBreak/>
        <w:drawing>
          <wp:inline distT="0" distB="0" distL="0" distR="0">
            <wp:extent cx="5486400" cy="3014472"/>
            <wp:effectExtent l="0" t="0" r="0" b="0"/>
            <wp:docPr id="705" name="Picture 7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Picture 705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14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934" w:rsidRDefault="00F63790">
      <w:pPr>
        <w:spacing w:after="256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7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257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spacing w:after="0" w:line="259" w:lineRule="auto"/>
        <w:ind w:left="360" w:firstLine="0"/>
        <w:jc w:val="both"/>
      </w:pPr>
      <w:r>
        <w:t xml:space="preserve"> </w:t>
      </w:r>
    </w:p>
    <w:p w:rsidR="00966934" w:rsidRDefault="00F63790">
      <w:pPr>
        <w:ind w:left="355"/>
      </w:pPr>
      <w:r>
        <w:t xml:space="preserve">Discusión  de  resultados: </w:t>
      </w:r>
    </w:p>
    <w:p w:rsidR="00966934" w:rsidRDefault="00F63790">
      <w:pPr>
        <w:spacing w:after="278" w:line="238" w:lineRule="auto"/>
        <w:ind w:left="360" w:right="119" w:firstLine="0"/>
        <w:jc w:val="both"/>
      </w:pPr>
      <w:r>
        <w:t xml:space="preserve">Como  vemos  </w:t>
      </w:r>
      <w:r>
        <w:t xml:space="preserve">la  extracción  de   sangre   es   importante  para   tener  un  control  sobre   los  pacientes   nosotros  al   extraernos  sangre  nos  dimos   cuenta   de   algunas   cosas  que  pueden  sufrir  nuestros  pacientes  como: </w:t>
      </w:r>
    </w:p>
    <w:p w:rsidR="00966934" w:rsidRDefault="00F63790">
      <w:pPr>
        <w:ind w:left="355"/>
      </w:pPr>
      <w:r>
        <w:t>El  tener  una  buena  comuni</w:t>
      </w:r>
      <w:r>
        <w:t xml:space="preserve">cación  con  el   paciente; </w:t>
      </w:r>
    </w:p>
    <w:p w:rsidR="00966934" w:rsidRDefault="00F63790">
      <w:pPr>
        <w:ind w:left="355"/>
      </w:pPr>
      <w:r>
        <w:t xml:space="preserve">Preparar  bien  los   materiales; </w:t>
      </w:r>
    </w:p>
    <w:p w:rsidR="00966934" w:rsidRDefault="00F63790">
      <w:pPr>
        <w:ind w:left="355"/>
      </w:pPr>
      <w:r>
        <w:t xml:space="preserve">Hacer  la  extracción  con  cuidado  para no crear  un hematoma; </w:t>
      </w:r>
    </w:p>
    <w:p w:rsidR="00966934" w:rsidRDefault="00F63790">
      <w:pPr>
        <w:ind w:left="355"/>
      </w:pPr>
      <w:r>
        <w:lastRenderedPageBreak/>
        <w:t xml:space="preserve">Y   ver   que   nuestro  paciente   no  tenga   hemorragias   o   lo hayan  puncionado  más  </w:t>
      </w:r>
      <w:r>
        <w:t xml:space="preserve">de dos  veces   en  el  mismo  lugar.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7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77" w:firstLine="0"/>
      </w:pPr>
      <w:r>
        <w:t xml:space="preserve"> </w:t>
      </w:r>
    </w:p>
    <w:p w:rsidR="00966934" w:rsidRDefault="00F63790">
      <w:pPr>
        <w:spacing w:after="0" w:line="259" w:lineRule="auto"/>
        <w:ind w:left="77" w:firstLine="0"/>
      </w:pPr>
      <w:r>
        <w:t xml:space="preserve"> </w:t>
      </w:r>
    </w:p>
    <w:p w:rsidR="00966934" w:rsidRDefault="00F63790">
      <w:pPr>
        <w:ind w:left="355"/>
      </w:pPr>
      <w:r>
        <w:t xml:space="preserve">Conclusión: </w:t>
      </w:r>
    </w:p>
    <w:p w:rsidR="00966934" w:rsidRDefault="00F63790">
      <w:pPr>
        <w:ind w:left="447"/>
      </w:pPr>
      <w:r>
        <w:t xml:space="preserve">En  conclusión,  este  procedimiento  es  crucial  por  varias  razones  como  para  el  diagnóstico  y  monitoreo  Permite  la  detección  y  diagnóstico  de  </w:t>
      </w:r>
      <w:r>
        <w:t>enfermedades,  así  como  el  seguimiento  de  condiciones  crónicas.  La  precisión  y  confiabilidad:  Cuando se realiza  adecuadamente,  la  toma  de  muestra  sanguínea  proporciona  resultados  precisos  y  confiables.  La  técnica  adecuada  y  el  m</w:t>
      </w:r>
      <w:r>
        <w:t>anejo  correcto  de  las  muestras  son  esenciales para  garantizar  la  calidad  de  los  resultados, la  seguridad  y  minimización  del  riesgo aunque es  un  procedimiento  generalmente  seguro, es  importante  para seguir  protocolos de  seguridad  p</w:t>
      </w:r>
      <w:r>
        <w:t xml:space="preserve">ara  minimizar  el  riesgo  de  complicaciones,  como  infecciones  o hematomas. </w:t>
      </w:r>
    </w:p>
    <w:p w:rsidR="00966934" w:rsidRDefault="00F63790">
      <w:pPr>
        <w:spacing w:after="256" w:line="259" w:lineRule="auto"/>
        <w:ind w:left="437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7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4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spacing w:after="256" w:line="259" w:lineRule="auto"/>
        <w:ind w:left="77" w:firstLine="0"/>
      </w:pPr>
      <w:r>
        <w:t xml:space="preserve"> </w:t>
      </w:r>
    </w:p>
    <w:p w:rsidR="00966934" w:rsidRDefault="00F63790">
      <w:pPr>
        <w:spacing w:after="0" w:line="259" w:lineRule="auto"/>
        <w:ind w:left="77" w:firstLine="0"/>
      </w:pPr>
      <w:r>
        <w:t xml:space="preserve"> </w:t>
      </w:r>
    </w:p>
    <w:p w:rsidR="00966934" w:rsidRDefault="00F63790">
      <w:pPr>
        <w:ind w:left="355"/>
      </w:pPr>
      <w:r>
        <w:t xml:space="preserve">Referencias: </w:t>
      </w:r>
    </w:p>
    <w:p w:rsidR="00966934" w:rsidRDefault="00F63790">
      <w:pPr>
        <w:ind w:left="355"/>
      </w:pPr>
      <w:r>
        <w:t xml:space="preserve">Ieqfb. (n.d.). Análisis clínico: Tipos y usos.   </w:t>
      </w:r>
    </w:p>
    <w:p w:rsidR="00966934" w:rsidRDefault="00F63790">
      <w:pPr>
        <w:ind w:left="355"/>
      </w:pPr>
      <w:r>
        <w:t xml:space="preserve">MedlinePlus. (n.d.). Venipuncture. U.S. National Library of Medicine. </w:t>
      </w:r>
    </w:p>
    <w:p w:rsidR="00966934" w:rsidRDefault="00F63790">
      <w:pPr>
        <w:spacing w:after="256" w:line="259" w:lineRule="auto"/>
        <w:ind w:left="360" w:firstLine="0"/>
      </w:pPr>
      <w:r>
        <w:t xml:space="preserve"> </w:t>
      </w:r>
    </w:p>
    <w:p w:rsidR="00966934" w:rsidRDefault="00F63790">
      <w:pPr>
        <w:ind w:left="355"/>
      </w:pPr>
      <w:r>
        <w:t xml:space="preserve">Anexo: Examen  </w:t>
      </w:r>
    </w:p>
    <w:p w:rsidR="00966934" w:rsidRDefault="00F63790">
      <w:pPr>
        <w:spacing w:after="0" w:line="259" w:lineRule="auto"/>
        <w:ind w:left="360" w:firstLine="0"/>
      </w:pPr>
      <w:r>
        <w:t xml:space="preserve"> </w:t>
      </w:r>
    </w:p>
    <w:p w:rsidR="00966934" w:rsidRDefault="00F63790">
      <w:pPr>
        <w:spacing w:after="0" w:line="259" w:lineRule="auto"/>
        <w:ind w:left="916" w:firstLine="0"/>
      </w:pPr>
      <w:r>
        <w:rPr>
          <w:noProof/>
        </w:rPr>
        <w:drawing>
          <wp:inline distT="0" distB="0" distL="0" distR="0">
            <wp:extent cx="4914900" cy="6312408"/>
            <wp:effectExtent l="0" t="0" r="0" b="0"/>
            <wp:docPr id="1027" name="Picture 10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31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934">
      <w:pgSz w:w="12240" w:h="15840"/>
      <w:pgMar w:top="1013" w:right="1450" w:bottom="696" w:left="13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D81F52"/>
    <w:multiLevelType w:val="hybridMultilevel"/>
    <w:tmpl w:val="718A1E6E"/>
    <w:lvl w:ilvl="0" w:tplc="C892467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2466936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3AC9304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6EC74A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CBA89D8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9D45124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216AE1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481E30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5E07FBC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74CA351F"/>
    <w:multiLevelType w:val="hybridMultilevel"/>
    <w:tmpl w:val="4E24297E"/>
    <w:lvl w:ilvl="0" w:tplc="19AC1A78">
      <w:start w:val="1"/>
      <w:numFmt w:val="bullet"/>
      <w:lvlText w:val="•"/>
      <w:lvlJc w:val="left"/>
      <w:pPr>
        <w:ind w:left="79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E5C88">
      <w:start w:val="1"/>
      <w:numFmt w:val="bullet"/>
      <w:lvlText w:val="o"/>
      <w:lvlJc w:val="left"/>
      <w:pPr>
        <w:ind w:left="114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0A6CD28">
      <w:start w:val="1"/>
      <w:numFmt w:val="bullet"/>
      <w:lvlText w:val="▪"/>
      <w:lvlJc w:val="left"/>
      <w:pPr>
        <w:ind w:left="18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CA7086">
      <w:start w:val="1"/>
      <w:numFmt w:val="bullet"/>
      <w:lvlText w:val="•"/>
      <w:lvlJc w:val="left"/>
      <w:pPr>
        <w:ind w:left="25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043C14">
      <w:start w:val="1"/>
      <w:numFmt w:val="bullet"/>
      <w:lvlText w:val="o"/>
      <w:lvlJc w:val="left"/>
      <w:pPr>
        <w:ind w:left="330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F8454CE">
      <w:start w:val="1"/>
      <w:numFmt w:val="bullet"/>
      <w:lvlText w:val="▪"/>
      <w:lvlJc w:val="left"/>
      <w:pPr>
        <w:ind w:left="402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CDC2742">
      <w:start w:val="1"/>
      <w:numFmt w:val="bullet"/>
      <w:lvlText w:val="•"/>
      <w:lvlJc w:val="left"/>
      <w:pPr>
        <w:ind w:left="474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8AD9E2">
      <w:start w:val="1"/>
      <w:numFmt w:val="bullet"/>
      <w:lvlText w:val="o"/>
      <w:lvlJc w:val="left"/>
      <w:pPr>
        <w:ind w:left="546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EC292C8">
      <w:start w:val="1"/>
      <w:numFmt w:val="bullet"/>
      <w:lvlText w:val="▪"/>
      <w:lvlJc w:val="left"/>
      <w:pPr>
        <w:ind w:left="618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934"/>
    <w:rsid w:val="00966934"/>
    <w:rsid w:val="00F63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D7F6ACE-95DB-4892-8913-B8886EA6E6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67" w:line="249" w:lineRule="auto"/>
      <w:ind w:left="87" w:hanging="1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ieqfb.com/hematologia/" TargetMode="External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hyperlink" Target="https://ieqfb.com/hematologi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eqfb.com/hematologia/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764</Words>
  <Characters>4205</Characters>
  <Application>Microsoft Office Word</Application>
  <DocSecurity>0</DocSecurity>
  <Lines>35</Lines>
  <Paragraphs>9</Paragraphs>
  <ScaleCrop>false</ScaleCrop>
  <Company/>
  <LinksUpToDate>false</LinksUpToDate>
  <CharactersWithSpaces>4960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Saul</cp:lastModifiedBy>
  <cp:revision>2</cp:revision>
  <dcterms:created xsi:type="dcterms:W3CDTF">2024-09-14T00:32:00Z</dcterms:created>
  <dcterms:modified xsi:type="dcterms:W3CDTF">2024-09-14T00:32:00Z</dcterms:modified>
</cp:coreProperties>
</file>