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8FD9" w14:textId="122B92B1" w:rsidR="00025107" w:rsidRPr="005165EC" w:rsidRDefault="00992193" w:rsidP="00992193">
      <w:pPr>
        <w:jc w:val="center"/>
        <w:rPr>
          <w:sz w:val="32"/>
          <w:szCs w:val="32"/>
          <w:lang w:val="es-ES_tradnl"/>
        </w:rPr>
      </w:pPr>
      <w:r w:rsidRPr="005165EC">
        <w:rPr>
          <w:sz w:val="32"/>
          <w:szCs w:val="32"/>
          <w:lang w:val="es-ES_tradnl"/>
        </w:rPr>
        <w:t>Hernias Inusuales</w:t>
      </w:r>
    </w:p>
    <w:p w14:paraId="3E324D30" w14:textId="77777777" w:rsidR="00992193" w:rsidRPr="005165EC" w:rsidRDefault="00992193" w:rsidP="00992193">
      <w:pPr>
        <w:jc w:val="center"/>
        <w:rPr>
          <w:sz w:val="32"/>
          <w:szCs w:val="32"/>
          <w:lang w:val="es-ES_tradnl"/>
        </w:rPr>
      </w:pPr>
    </w:p>
    <w:p w14:paraId="55AF5118" w14:textId="4E38E376" w:rsidR="00992193" w:rsidRPr="005165EC" w:rsidRDefault="00992193" w:rsidP="00992193">
      <w:pPr>
        <w:jc w:val="both"/>
        <w:rPr>
          <w:b/>
          <w:bCs/>
          <w:sz w:val="22"/>
          <w:szCs w:val="22"/>
          <w:lang w:val="es-ES_tradnl"/>
        </w:rPr>
      </w:pPr>
      <w:r w:rsidRPr="005165EC">
        <w:rPr>
          <w:b/>
          <w:bCs/>
          <w:sz w:val="22"/>
          <w:szCs w:val="22"/>
          <w:lang w:val="es-ES_tradnl"/>
        </w:rPr>
        <w:t>Que son:</w:t>
      </w:r>
    </w:p>
    <w:p w14:paraId="0A168659" w14:textId="77777777" w:rsidR="00992193" w:rsidRPr="005165EC" w:rsidRDefault="00992193" w:rsidP="00992193">
      <w:pPr>
        <w:jc w:val="both"/>
        <w:rPr>
          <w:sz w:val="22"/>
          <w:szCs w:val="22"/>
          <w:lang w:val="es-ES_tradnl"/>
        </w:rPr>
      </w:pPr>
    </w:p>
    <w:p w14:paraId="24D4193A" w14:textId="2F8FF92E" w:rsidR="00992193" w:rsidRPr="005165EC" w:rsidRDefault="00992193" w:rsidP="00992193">
      <w:pPr>
        <w:jc w:val="both"/>
        <w:rPr>
          <w:sz w:val="22"/>
          <w:szCs w:val="22"/>
        </w:rPr>
      </w:pPr>
      <w:r w:rsidRPr="005165EC">
        <w:rPr>
          <w:sz w:val="22"/>
          <w:szCs w:val="22"/>
        </w:rPr>
        <w:t>H</w:t>
      </w:r>
      <w:r w:rsidRPr="00992193">
        <w:rPr>
          <w:sz w:val="22"/>
          <w:szCs w:val="22"/>
        </w:rPr>
        <w:t>ernia aparece cuando hay una debilidad o agujero en el peritoneo, la pared muscular que generalmente mantiene los órganos abdominales en su lugar.</w:t>
      </w:r>
    </w:p>
    <w:p w14:paraId="624F3659" w14:textId="77777777" w:rsidR="00992193" w:rsidRPr="00992193" w:rsidRDefault="00992193" w:rsidP="00992193">
      <w:pPr>
        <w:jc w:val="both"/>
        <w:rPr>
          <w:sz w:val="22"/>
          <w:szCs w:val="22"/>
        </w:rPr>
      </w:pPr>
    </w:p>
    <w:p w14:paraId="77D89EB5" w14:textId="77777777" w:rsidR="00992193" w:rsidRPr="005165EC" w:rsidRDefault="00992193" w:rsidP="00992193">
      <w:pPr>
        <w:jc w:val="both"/>
        <w:rPr>
          <w:sz w:val="22"/>
          <w:szCs w:val="22"/>
        </w:rPr>
      </w:pPr>
      <w:r w:rsidRPr="00992193">
        <w:rPr>
          <w:sz w:val="22"/>
          <w:szCs w:val="22"/>
        </w:rPr>
        <w:t>Este defecto en el peritoneo permite que los órganos y tejidos penetren o se hernien, lo que produce una protuberancia o bulto.</w:t>
      </w:r>
    </w:p>
    <w:p w14:paraId="488CC377" w14:textId="77777777" w:rsidR="00992193" w:rsidRPr="00992193" w:rsidRDefault="00992193" w:rsidP="00992193">
      <w:pPr>
        <w:jc w:val="both"/>
        <w:rPr>
          <w:sz w:val="22"/>
          <w:szCs w:val="22"/>
        </w:rPr>
      </w:pPr>
    </w:p>
    <w:p w14:paraId="4C4D8163" w14:textId="77777777" w:rsidR="00992193" w:rsidRPr="00992193" w:rsidRDefault="00992193" w:rsidP="00992193">
      <w:pPr>
        <w:jc w:val="both"/>
        <w:rPr>
          <w:sz w:val="22"/>
          <w:szCs w:val="22"/>
        </w:rPr>
      </w:pPr>
      <w:r w:rsidRPr="00992193">
        <w:rPr>
          <w:sz w:val="22"/>
          <w:szCs w:val="22"/>
        </w:rPr>
        <w:t>El bulto puede desaparecer cuando la persona se acuesta y, algunas veces, puede regresar a su posición original, debajo de la piel. La tos puede hacer que reaparezca.</w:t>
      </w:r>
    </w:p>
    <w:p w14:paraId="571E772C" w14:textId="77777777" w:rsidR="00992193" w:rsidRPr="005165EC" w:rsidRDefault="00992193" w:rsidP="00992193">
      <w:pPr>
        <w:jc w:val="both"/>
        <w:rPr>
          <w:sz w:val="22"/>
          <w:szCs w:val="22"/>
          <w:lang w:val="es-ES_tradnl"/>
        </w:rPr>
      </w:pPr>
    </w:p>
    <w:p w14:paraId="044C3D11" w14:textId="7E7DAE30" w:rsidR="00992193" w:rsidRPr="005165EC" w:rsidRDefault="00992193" w:rsidP="00992193">
      <w:pPr>
        <w:jc w:val="both"/>
        <w:rPr>
          <w:b/>
          <w:bCs/>
          <w:sz w:val="22"/>
          <w:szCs w:val="22"/>
        </w:rPr>
      </w:pPr>
      <w:bookmarkStart w:id="0" w:name="causas"/>
      <w:r w:rsidRPr="00992193">
        <w:rPr>
          <w:b/>
          <w:bCs/>
          <w:sz w:val="22"/>
          <w:szCs w:val="22"/>
        </w:rPr>
        <w:t>Causas</w:t>
      </w:r>
      <w:bookmarkEnd w:id="0"/>
      <w:r w:rsidRPr="005165EC">
        <w:rPr>
          <w:b/>
          <w:bCs/>
          <w:sz w:val="22"/>
          <w:szCs w:val="22"/>
        </w:rPr>
        <w:t xml:space="preserve"> </w:t>
      </w:r>
      <w:r w:rsidR="00614749" w:rsidRPr="005165EC">
        <w:rPr>
          <w:b/>
          <w:bCs/>
          <w:sz w:val="22"/>
          <w:szCs w:val="22"/>
        </w:rPr>
        <w:t>:</w:t>
      </w:r>
    </w:p>
    <w:p w14:paraId="5B74E0E1" w14:textId="77777777" w:rsidR="00614749" w:rsidRPr="005165EC" w:rsidRDefault="00614749" w:rsidP="00992193">
      <w:pPr>
        <w:jc w:val="both"/>
        <w:rPr>
          <w:sz w:val="22"/>
          <w:szCs w:val="22"/>
        </w:rPr>
      </w:pPr>
    </w:p>
    <w:p w14:paraId="362E9267" w14:textId="57A7D1A5" w:rsidR="00614749" w:rsidRPr="00614749" w:rsidRDefault="00614749" w:rsidP="00614749">
      <w:pPr>
        <w:jc w:val="both"/>
        <w:rPr>
          <w:sz w:val="22"/>
          <w:szCs w:val="22"/>
        </w:rPr>
      </w:pPr>
      <w:r w:rsidRPr="00614749">
        <w:rPr>
          <w:sz w:val="22"/>
          <w:szCs w:val="22"/>
        </w:rPr>
        <w:t>Con la excepción de una hernia incisional (una complicación de la cirugía abdominal), en la mayoría de los casos, no existe una razón obvia para que aparezca una hernia. El riesgo aumenta con la edad y se presenta con mayor frecuencia en hombres que en mujeres.</w:t>
      </w:r>
    </w:p>
    <w:p w14:paraId="3300E6D6" w14:textId="77777777" w:rsidR="00614749" w:rsidRPr="005165EC" w:rsidRDefault="00614749" w:rsidP="00614749">
      <w:pPr>
        <w:jc w:val="both"/>
        <w:rPr>
          <w:sz w:val="22"/>
          <w:szCs w:val="22"/>
        </w:rPr>
      </w:pPr>
    </w:p>
    <w:p w14:paraId="33B337AF" w14:textId="5C2282CD" w:rsidR="00614749" w:rsidRPr="00614749" w:rsidRDefault="00614749" w:rsidP="00614749">
      <w:pPr>
        <w:jc w:val="both"/>
        <w:rPr>
          <w:sz w:val="22"/>
          <w:szCs w:val="22"/>
        </w:rPr>
      </w:pPr>
      <w:r w:rsidRPr="00614749">
        <w:rPr>
          <w:sz w:val="22"/>
          <w:szCs w:val="22"/>
        </w:rPr>
        <w:t>Una hernia puede ser congénita (presente al nacer) o desarrollarse en niños con debilidad en la pared abdominal.</w:t>
      </w:r>
    </w:p>
    <w:p w14:paraId="7D6C0C3D" w14:textId="0C91FD1C" w:rsidR="00614749" w:rsidRPr="00614749" w:rsidRDefault="00614749" w:rsidP="00614749">
      <w:pPr>
        <w:jc w:val="both"/>
        <w:rPr>
          <w:sz w:val="22"/>
          <w:szCs w:val="22"/>
        </w:rPr>
      </w:pPr>
      <w:r w:rsidRPr="00614749">
        <w:rPr>
          <w:sz w:val="22"/>
          <w:szCs w:val="22"/>
        </w:rPr>
        <w:t>Las actividades y los problemas médicos que aumentan la presión sobre la pared abdominal pueden provocar una hernia</w:t>
      </w:r>
      <w:r w:rsidRPr="005165EC">
        <w:rPr>
          <w:sz w:val="22"/>
          <w:szCs w:val="22"/>
        </w:rPr>
        <w:t>.</w:t>
      </w:r>
    </w:p>
    <w:p w14:paraId="1C41B1BE" w14:textId="77777777" w:rsidR="00614749" w:rsidRPr="005165EC" w:rsidRDefault="00614749" w:rsidP="00992193">
      <w:pPr>
        <w:jc w:val="both"/>
        <w:rPr>
          <w:sz w:val="22"/>
          <w:szCs w:val="22"/>
        </w:rPr>
      </w:pPr>
    </w:p>
    <w:p w14:paraId="718CCA16" w14:textId="77777777" w:rsidR="00614749" w:rsidRPr="00614749" w:rsidRDefault="00614749" w:rsidP="00614749">
      <w:pPr>
        <w:numPr>
          <w:ilvl w:val="0"/>
          <w:numId w:val="2"/>
        </w:numPr>
        <w:jc w:val="both"/>
        <w:rPr>
          <w:sz w:val="22"/>
          <w:szCs w:val="22"/>
        </w:rPr>
      </w:pPr>
      <w:r w:rsidRPr="00614749">
        <w:rPr>
          <w:sz w:val="22"/>
          <w:szCs w:val="22"/>
        </w:rPr>
        <w:t>Esfuerzo en el inodoro (debido al estreñimiento prolongado, por ejemplo)</w:t>
      </w:r>
    </w:p>
    <w:p w14:paraId="4131A7E7" w14:textId="77777777" w:rsidR="00614749" w:rsidRPr="00614749" w:rsidRDefault="00614749" w:rsidP="00614749">
      <w:pPr>
        <w:numPr>
          <w:ilvl w:val="0"/>
          <w:numId w:val="2"/>
        </w:numPr>
        <w:jc w:val="both"/>
        <w:rPr>
          <w:sz w:val="22"/>
          <w:szCs w:val="22"/>
        </w:rPr>
      </w:pPr>
      <w:r w:rsidRPr="00614749">
        <w:rPr>
          <w:sz w:val="22"/>
          <w:szCs w:val="22"/>
        </w:rPr>
        <w:t>Tos persistente</w:t>
      </w:r>
    </w:p>
    <w:p w14:paraId="290310C7" w14:textId="77777777" w:rsidR="00614749" w:rsidRPr="00614749" w:rsidRDefault="00614749" w:rsidP="00614749">
      <w:pPr>
        <w:numPr>
          <w:ilvl w:val="0"/>
          <w:numId w:val="2"/>
        </w:numPr>
        <w:jc w:val="both"/>
        <w:rPr>
          <w:sz w:val="22"/>
          <w:szCs w:val="22"/>
        </w:rPr>
      </w:pPr>
      <w:r w:rsidRPr="00614749">
        <w:rPr>
          <w:sz w:val="22"/>
          <w:szCs w:val="22"/>
        </w:rPr>
        <w:t>Fibrosis quística</w:t>
      </w:r>
    </w:p>
    <w:p w14:paraId="75A75D2F" w14:textId="77777777" w:rsidR="00614749" w:rsidRPr="00614749" w:rsidRDefault="00614749" w:rsidP="00614749">
      <w:pPr>
        <w:numPr>
          <w:ilvl w:val="0"/>
          <w:numId w:val="2"/>
        </w:numPr>
        <w:jc w:val="both"/>
        <w:rPr>
          <w:sz w:val="22"/>
          <w:szCs w:val="22"/>
        </w:rPr>
      </w:pPr>
      <w:r w:rsidRPr="00614749">
        <w:rPr>
          <w:sz w:val="22"/>
          <w:szCs w:val="22"/>
        </w:rPr>
        <w:t>Próstata agrandada</w:t>
      </w:r>
    </w:p>
    <w:p w14:paraId="30AECB70" w14:textId="77777777" w:rsidR="00614749" w:rsidRPr="00614749" w:rsidRDefault="00614749" w:rsidP="00614749">
      <w:pPr>
        <w:numPr>
          <w:ilvl w:val="0"/>
          <w:numId w:val="2"/>
        </w:numPr>
        <w:jc w:val="both"/>
        <w:rPr>
          <w:sz w:val="22"/>
          <w:szCs w:val="22"/>
        </w:rPr>
      </w:pPr>
      <w:r w:rsidRPr="00614749">
        <w:rPr>
          <w:sz w:val="22"/>
          <w:szCs w:val="22"/>
        </w:rPr>
        <w:t>Esfuerzo para orinar</w:t>
      </w:r>
    </w:p>
    <w:p w14:paraId="3CBF48CD" w14:textId="77777777" w:rsidR="00614749" w:rsidRPr="00614749" w:rsidRDefault="00614749" w:rsidP="00614749">
      <w:pPr>
        <w:numPr>
          <w:ilvl w:val="0"/>
          <w:numId w:val="2"/>
        </w:numPr>
        <w:jc w:val="both"/>
        <w:rPr>
          <w:sz w:val="22"/>
          <w:szCs w:val="22"/>
        </w:rPr>
      </w:pPr>
      <w:r w:rsidRPr="00614749">
        <w:rPr>
          <w:sz w:val="22"/>
          <w:szCs w:val="22"/>
        </w:rPr>
        <w:t>Sobrepeso u obesidad</w:t>
      </w:r>
    </w:p>
    <w:p w14:paraId="1158B465" w14:textId="77777777" w:rsidR="00614749" w:rsidRPr="00614749" w:rsidRDefault="00614749" w:rsidP="00614749">
      <w:pPr>
        <w:numPr>
          <w:ilvl w:val="0"/>
          <w:numId w:val="2"/>
        </w:numPr>
        <w:jc w:val="both"/>
        <w:rPr>
          <w:sz w:val="22"/>
          <w:szCs w:val="22"/>
        </w:rPr>
      </w:pPr>
      <w:r w:rsidRPr="00614749">
        <w:rPr>
          <w:sz w:val="22"/>
          <w:szCs w:val="22"/>
        </w:rPr>
        <w:t>Fluido abdominal</w:t>
      </w:r>
    </w:p>
    <w:p w14:paraId="130D4AF4" w14:textId="77777777" w:rsidR="00614749" w:rsidRPr="00614749" w:rsidRDefault="00614749" w:rsidP="00614749">
      <w:pPr>
        <w:numPr>
          <w:ilvl w:val="0"/>
          <w:numId w:val="2"/>
        </w:numPr>
        <w:jc w:val="both"/>
        <w:rPr>
          <w:sz w:val="22"/>
          <w:szCs w:val="22"/>
        </w:rPr>
      </w:pPr>
      <w:r w:rsidRPr="00614749">
        <w:rPr>
          <w:sz w:val="22"/>
          <w:szCs w:val="22"/>
        </w:rPr>
        <w:t>Levantamiento de objetos pesados</w:t>
      </w:r>
    </w:p>
    <w:p w14:paraId="00013854" w14:textId="77777777" w:rsidR="00614749" w:rsidRPr="00614749" w:rsidRDefault="00614749" w:rsidP="00614749">
      <w:pPr>
        <w:numPr>
          <w:ilvl w:val="0"/>
          <w:numId w:val="2"/>
        </w:numPr>
        <w:jc w:val="both"/>
        <w:rPr>
          <w:sz w:val="22"/>
          <w:szCs w:val="22"/>
        </w:rPr>
      </w:pPr>
      <w:r w:rsidRPr="00614749">
        <w:rPr>
          <w:sz w:val="22"/>
          <w:szCs w:val="22"/>
        </w:rPr>
        <w:t>Diálisis peritoneal</w:t>
      </w:r>
    </w:p>
    <w:p w14:paraId="49DA9F25" w14:textId="77777777" w:rsidR="00614749" w:rsidRPr="00614749" w:rsidRDefault="00614749" w:rsidP="00614749">
      <w:pPr>
        <w:numPr>
          <w:ilvl w:val="0"/>
          <w:numId w:val="2"/>
        </w:numPr>
        <w:jc w:val="both"/>
        <w:rPr>
          <w:sz w:val="22"/>
          <w:szCs w:val="22"/>
        </w:rPr>
      </w:pPr>
      <w:r w:rsidRPr="00614749">
        <w:rPr>
          <w:sz w:val="22"/>
          <w:szCs w:val="22"/>
        </w:rPr>
        <w:t>Mala nutrición</w:t>
      </w:r>
    </w:p>
    <w:p w14:paraId="631823DC" w14:textId="77777777" w:rsidR="00614749" w:rsidRPr="00614749" w:rsidRDefault="00614749" w:rsidP="00614749">
      <w:pPr>
        <w:numPr>
          <w:ilvl w:val="0"/>
          <w:numId w:val="2"/>
        </w:numPr>
        <w:jc w:val="both"/>
        <w:rPr>
          <w:sz w:val="22"/>
          <w:szCs w:val="22"/>
        </w:rPr>
      </w:pPr>
      <w:r w:rsidRPr="00614749">
        <w:rPr>
          <w:sz w:val="22"/>
          <w:szCs w:val="22"/>
        </w:rPr>
        <w:t>Consumo de tabaco</w:t>
      </w:r>
    </w:p>
    <w:p w14:paraId="30249952" w14:textId="77777777" w:rsidR="00614749" w:rsidRPr="00614749" w:rsidRDefault="00614749" w:rsidP="00614749">
      <w:pPr>
        <w:numPr>
          <w:ilvl w:val="0"/>
          <w:numId w:val="2"/>
        </w:numPr>
        <w:jc w:val="both"/>
        <w:rPr>
          <w:sz w:val="22"/>
          <w:szCs w:val="22"/>
        </w:rPr>
      </w:pPr>
      <w:r w:rsidRPr="00614749">
        <w:rPr>
          <w:sz w:val="22"/>
          <w:szCs w:val="22"/>
        </w:rPr>
        <w:t>Esfuerzo físico</w:t>
      </w:r>
    </w:p>
    <w:p w14:paraId="071AB5EF" w14:textId="77777777" w:rsidR="00614749" w:rsidRPr="00614749" w:rsidRDefault="00614749" w:rsidP="00614749">
      <w:pPr>
        <w:numPr>
          <w:ilvl w:val="0"/>
          <w:numId w:val="2"/>
        </w:numPr>
        <w:jc w:val="both"/>
        <w:rPr>
          <w:sz w:val="22"/>
          <w:szCs w:val="22"/>
        </w:rPr>
      </w:pPr>
      <w:r w:rsidRPr="00614749">
        <w:rPr>
          <w:sz w:val="22"/>
          <w:szCs w:val="22"/>
        </w:rPr>
        <w:t>Testículos no descendidos</w:t>
      </w:r>
    </w:p>
    <w:p w14:paraId="755A74FA" w14:textId="77777777" w:rsidR="00614749" w:rsidRPr="005165EC" w:rsidRDefault="00614749" w:rsidP="00992193">
      <w:pPr>
        <w:jc w:val="both"/>
        <w:rPr>
          <w:sz w:val="22"/>
          <w:szCs w:val="22"/>
        </w:rPr>
      </w:pPr>
    </w:p>
    <w:p w14:paraId="2CFC0A49" w14:textId="77777777" w:rsidR="00614749" w:rsidRPr="005165EC" w:rsidRDefault="00614749" w:rsidP="00614749">
      <w:pPr>
        <w:jc w:val="both"/>
        <w:rPr>
          <w:b/>
          <w:bCs/>
          <w:sz w:val="22"/>
          <w:szCs w:val="22"/>
        </w:rPr>
      </w:pPr>
      <w:r w:rsidRPr="00614749">
        <w:rPr>
          <w:b/>
          <w:bCs/>
          <w:sz w:val="22"/>
          <w:szCs w:val="22"/>
        </w:rPr>
        <w:t xml:space="preserve">Hernia de De Garengeot </w:t>
      </w:r>
    </w:p>
    <w:p w14:paraId="031E8A56" w14:textId="77777777" w:rsidR="00614749" w:rsidRPr="00614749" w:rsidRDefault="00614749" w:rsidP="00614749">
      <w:pPr>
        <w:jc w:val="both"/>
        <w:rPr>
          <w:b/>
          <w:bCs/>
          <w:sz w:val="22"/>
          <w:szCs w:val="22"/>
        </w:rPr>
      </w:pPr>
    </w:p>
    <w:p w14:paraId="5C236BD5" w14:textId="77777777" w:rsidR="00614749" w:rsidRPr="00614749" w:rsidRDefault="00614749" w:rsidP="00614749">
      <w:pPr>
        <w:jc w:val="both"/>
        <w:rPr>
          <w:sz w:val="22"/>
          <w:szCs w:val="22"/>
        </w:rPr>
      </w:pPr>
      <w:r w:rsidRPr="00614749">
        <w:rPr>
          <w:sz w:val="22"/>
          <w:szCs w:val="22"/>
        </w:rPr>
        <w:t xml:space="preserve">Condición descrita por primera vez en 1731 por el ciru- jano francés René Jacques Croissant de Garengeot. </w:t>
      </w:r>
    </w:p>
    <w:p w14:paraId="55ECB7FF" w14:textId="77777777" w:rsidR="00614749" w:rsidRPr="00614749" w:rsidRDefault="00614749" w:rsidP="00614749">
      <w:pPr>
        <w:jc w:val="both"/>
        <w:rPr>
          <w:sz w:val="22"/>
          <w:szCs w:val="22"/>
        </w:rPr>
      </w:pPr>
      <w:r w:rsidRPr="00614749">
        <w:rPr>
          <w:sz w:val="22"/>
          <w:szCs w:val="22"/>
        </w:rPr>
        <w:t xml:space="preserve">• Apéndice vermiforme agudamente inflamado conte- nido en el saco de una hernia femoral.6,7 </w:t>
      </w:r>
    </w:p>
    <w:p w14:paraId="755BA7DF" w14:textId="77777777" w:rsidR="00614749" w:rsidRPr="005165EC" w:rsidRDefault="00614749" w:rsidP="00614749">
      <w:pPr>
        <w:jc w:val="both"/>
        <w:rPr>
          <w:sz w:val="22"/>
          <w:szCs w:val="22"/>
        </w:rPr>
      </w:pPr>
      <w:r w:rsidRPr="00614749">
        <w:rPr>
          <w:sz w:val="22"/>
          <w:szCs w:val="22"/>
        </w:rPr>
        <w:t xml:space="preserve">• Presencia del apéndice vermiforme en una hernia fe- moral. Incidencia: 0.5-5% de todas las hernias femo- rales. Incidencia de apendicitis en una hernia femoral: 0.08-0.13%.8 </w:t>
      </w:r>
    </w:p>
    <w:p w14:paraId="37239F08" w14:textId="77777777" w:rsidR="00614749" w:rsidRPr="005165EC" w:rsidRDefault="00614749" w:rsidP="00614749">
      <w:pPr>
        <w:jc w:val="both"/>
        <w:rPr>
          <w:sz w:val="22"/>
          <w:szCs w:val="22"/>
        </w:rPr>
      </w:pPr>
    </w:p>
    <w:p w14:paraId="7B8E87F2" w14:textId="77777777" w:rsidR="005165EC" w:rsidRPr="005165EC" w:rsidRDefault="005165EC" w:rsidP="005165EC">
      <w:pPr>
        <w:jc w:val="both"/>
        <w:rPr>
          <w:b/>
          <w:bCs/>
          <w:sz w:val="22"/>
          <w:szCs w:val="22"/>
        </w:rPr>
      </w:pPr>
      <w:r w:rsidRPr="005165EC">
        <w:rPr>
          <w:b/>
          <w:bCs/>
          <w:sz w:val="22"/>
          <w:szCs w:val="22"/>
        </w:rPr>
        <w:lastRenderedPageBreak/>
        <w:t xml:space="preserve">Hernia de Littre </w:t>
      </w:r>
    </w:p>
    <w:p w14:paraId="5231ECDE" w14:textId="77777777" w:rsidR="005165EC" w:rsidRPr="005165EC" w:rsidRDefault="005165EC" w:rsidP="005165EC">
      <w:pPr>
        <w:jc w:val="both"/>
        <w:rPr>
          <w:b/>
          <w:bCs/>
          <w:sz w:val="22"/>
          <w:szCs w:val="22"/>
        </w:rPr>
      </w:pPr>
    </w:p>
    <w:p w14:paraId="518DC481" w14:textId="77777777" w:rsidR="005165EC" w:rsidRPr="005165EC" w:rsidRDefault="005165EC" w:rsidP="005165EC">
      <w:pPr>
        <w:jc w:val="both"/>
        <w:rPr>
          <w:sz w:val="22"/>
          <w:szCs w:val="22"/>
        </w:rPr>
      </w:pPr>
      <w:r w:rsidRPr="005165EC">
        <w:rPr>
          <w:sz w:val="22"/>
          <w:szCs w:val="22"/>
        </w:rPr>
        <w:t xml:space="preserve">Divertículo de Meckel (persistencia de la parte intesti- nal de conducto onfalomesentérico, comunicación entre el saco vitelino y el intestino primitivo medio) en el inte- rior de cualquier orificio herniario. El primero en describir el divertículo de Meckel dentro de un saco herniario fue Alexis Littré en 1700. </w:t>
      </w:r>
    </w:p>
    <w:p w14:paraId="2602599C" w14:textId="46B87848" w:rsidR="005165EC" w:rsidRPr="005165EC" w:rsidRDefault="005165EC" w:rsidP="005165EC">
      <w:pPr>
        <w:jc w:val="both"/>
        <w:rPr>
          <w:sz w:val="22"/>
          <w:szCs w:val="22"/>
        </w:rPr>
      </w:pPr>
    </w:p>
    <w:p w14:paraId="3DF37DB9" w14:textId="77777777" w:rsidR="00614749" w:rsidRPr="00614749" w:rsidRDefault="00614749" w:rsidP="00614749">
      <w:pPr>
        <w:jc w:val="both"/>
        <w:rPr>
          <w:sz w:val="22"/>
          <w:szCs w:val="22"/>
        </w:rPr>
      </w:pPr>
    </w:p>
    <w:p w14:paraId="4B1D4219" w14:textId="77777777" w:rsidR="00614749" w:rsidRPr="00992193" w:rsidRDefault="00614749" w:rsidP="00992193">
      <w:pPr>
        <w:jc w:val="both"/>
        <w:rPr>
          <w:sz w:val="22"/>
          <w:szCs w:val="22"/>
        </w:rPr>
      </w:pPr>
    </w:p>
    <w:p w14:paraId="7BCF74F0" w14:textId="77777777" w:rsidR="00992193" w:rsidRPr="00992193" w:rsidRDefault="00992193" w:rsidP="00992193">
      <w:pPr>
        <w:jc w:val="both"/>
        <w:rPr>
          <w:sz w:val="22"/>
          <w:szCs w:val="22"/>
        </w:rPr>
      </w:pPr>
    </w:p>
    <w:p w14:paraId="47F7EEAA" w14:textId="43DA0DB5" w:rsidR="00992193" w:rsidRPr="005165EC" w:rsidRDefault="005165EC" w:rsidP="00992193">
      <w:pPr>
        <w:jc w:val="both"/>
        <w:rPr>
          <w:sz w:val="22"/>
          <w:szCs w:val="22"/>
          <w:lang w:val="es-ES_tradnl"/>
        </w:rPr>
      </w:pPr>
      <w:r w:rsidRPr="005165EC">
        <w:rPr>
          <w:noProof/>
          <w:sz w:val="22"/>
          <w:szCs w:val="22"/>
          <w:lang w:val="es-ES_tradnl"/>
        </w:rPr>
        <w:drawing>
          <wp:inline distT="0" distB="0" distL="0" distR="0" wp14:anchorId="1F4CB1D9" wp14:editId="5F4DD850">
            <wp:extent cx="5612130" cy="1781810"/>
            <wp:effectExtent l="0" t="0" r="1270" b="0"/>
            <wp:docPr id="16632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184" name="Imagen 166321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1781810"/>
                    </a:xfrm>
                    <a:prstGeom prst="rect">
                      <a:avLst/>
                    </a:prstGeom>
                  </pic:spPr>
                </pic:pic>
              </a:graphicData>
            </a:graphic>
          </wp:inline>
        </w:drawing>
      </w:r>
    </w:p>
    <w:p w14:paraId="2594778C" w14:textId="77777777" w:rsidR="005165EC" w:rsidRPr="005165EC" w:rsidRDefault="005165EC" w:rsidP="00992193">
      <w:pPr>
        <w:jc w:val="both"/>
        <w:rPr>
          <w:sz w:val="22"/>
          <w:szCs w:val="22"/>
          <w:lang w:val="es-ES_tradnl"/>
        </w:rPr>
      </w:pPr>
    </w:p>
    <w:p w14:paraId="5F2E5C0A" w14:textId="77777777" w:rsidR="005165EC" w:rsidRPr="005165EC" w:rsidRDefault="005165EC" w:rsidP="00992193">
      <w:pPr>
        <w:jc w:val="both"/>
        <w:rPr>
          <w:sz w:val="22"/>
          <w:szCs w:val="22"/>
          <w:lang w:val="es-ES_tradnl"/>
        </w:rPr>
      </w:pPr>
    </w:p>
    <w:p w14:paraId="2ADD591F" w14:textId="77777777" w:rsidR="005165EC" w:rsidRPr="005165EC" w:rsidRDefault="005165EC" w:rsidP="00992193">
      <w:pPr>
        <w:jc w:val="both"/>
        <w:rPr>
          <w:sz w:val="22"/>
          <w:szCs w:val="22"/>
          <w:lang w:val="es-ES_tradnl"/>
        </w:rPr>
      </w:pPr>
    </w:p>
    <w:p w14:paraId="7F7B8102" w14:textId="77777777" w:rsidR="005165EC" w:rsidRPr="005165EC" w:rsidRDefault="005165EC" w:rsidP="00992193">
      <w:pPr>
        <w:jc w:val="both"/>
        <w:rPr>
          <w:sz w:val="22"/>
          <w:szCs w:val="22"/>
          <w:lang w:val="es-ES_tradnl"/>
        </w:rPr>
      </w:pPr>
    </w:p>
    <w:p w14:paraId="6A6BE4B2" w14:textId="77777777" w:rsidR="005165EC" w:rsidRPr="005165EC" w:rsidRDefault="005165EC" w:rsidP="00992193">
      <w:pPr>
        <w:jc w:val="both"/>
        <w:rPr>
          <w:sz w:val="22"/>
          <w:szCs w:val="22"/>
          <w:lang w:val="es-ES_tradnl"/>
        </w:rPr>
      </w:pPr>
    </w:p>
    <w:p w14:paraId="3FE740E6" w14:textId="77777777" w:rsidR="005165EC" w:rsidRPr="005165EC" w:rsidRDefault="005165EC" w:rsidP="005165EC">
      <w:pPr>
        <w:jc w:val="both"/>
        <w:rPr>
          <w:b/>
          <w:bCs/>
          <w:sz w:val="22"/>
          <w:szCs w:val="22"/>
        </w:rPr>
      </w:pPr>
      <w:r w:rsidRPr="005165EC">
        <w:rPr>
          <w:b/>
          <w:bCs/>
          <w:sz w:val="22"/>
          <w:szCs w:val="22"/>
        </w:rPr>
        <w:t xml:space="preserve">Hernias lumbares </w:t>
      </w:r>
    </w:p>
    <w:p w14:paraId="58A785A1" w14:textId="77777777" w:rsidR="005165EC" w:rsidRPr="005165EC" w:rsidRDefault="005165EC" w:rsidP="005165EC">
      <w:pPr>
        <w:jc w:val="both"/>
        <w:rPr>
          <w:b/>
          <w:bCs/>
          <w:sz w:val="22"/>
          <w:szCs w:val="22"/>
        </w:rPr>
      </w:pPr>
    </w:p>
    <w:p w14:paraId="25B19032" w14:textId="77777777" w:rsidR="005165EC" w:rsidRPr="005165EC" w:rsidRDefault="005165EC" w:rsidP="005165EC">
      <w:pPr>
        <w:jc w:val="both"/>
        <w:rPr>
          <w:sz w:val="22"/>
          <w:szCs w:val="22"/>
        </w:rPr>
      </w:pPr>
      <w:r w:rsidRPr="005165EC">
        <w:rPr>
          <w:sz w:val="22"/>
          <w:szCs w:val="22"/>
        </w:rPr>
        <w:t xml:space="preserve">Pueden ser congénitas (raras, asociadas a otras ano- malías como criptorquidia, agenesia renal bilateral y sín- drome lumbocostovertebral) o adquiridas.10 Las adquiri- das representan 80% de los casos y pueden clasificarse en primarias11 (no traumáticas, representan más de la mitad de las hernias adquiridas) y secundarias12,13 (25%, relacio- nadas con eventos traumáticos, accidente automovilísti- co, caídas, trauma contuso, o bien, con eventos quirúrgi- cos, cirugía renal, incisiones en los flancos y procuración de injertos de hueso iliaco). </w:t>
      </w:r>
    </w:p>
    <w:p w14:paraId="77B30ED1" w14:textId="77777777" w:rsidR="005165EC" w:rsidRPr="005165EC" w:rsidRDefault="005165EC" w:rsidP="005165EC">
      <w:pPr>
        <w:jc w:val="both"/>
        <w:rPr>
          <w:sz w:val="22"/>
          <w:szCs w:val="22"/>
        </w:rPr>
      </w:pPr>
    </w:p>
    <w:p w14:paraId="27F5A36F" w14:textId="77777777" w:rsidR="005165EC" w:rsidRPr="005165EC" w:rsidRDefault="005165EC" w:rsidP="005165EC">
      <w:pPr>
        <w:numPr>
          <w:ilvl w:val="0"/>
          <w:numId w:val="3"/>
        </w:numPr>
        <w:jc w:val="both"/>
        <w:rPr>
          <w:sz w:val="22"/>
          <w:szCs w:val="22"/>
        </w:rPr>
      </w:pPr>
      <w:r w:rsidRPr="005165EC">
        <w:rPr>
          <w:sz w:val="22"/>
          <w:szCs w:val="22"/>
        </w:rPr>
        <w:t xml:space="preserve">Hernia de Petit. Evaginación de peritoneo o saco, con o sin contenido visceral (grasa retroperitoneal, colon, intestino delgado o riñón) a través del triángulo de Petit o triángulo lumbar inferior (más pequeño que el superior). La cresta iliaca forma la base, el músculo oblicuo externo el borde lateral y el dorsal ancho el borde medial. </w:t>
      </w:r>
    </w:p>
    <w:p w14:paraId="109B77AF" w14:textId="77777777" w:rsidR="005165EC" w:rsidRPr="005165EC" w:rsidRDefault="005165EC" w:rsidP="005165EC">
      <w:pPr>
        <w:numPr>
          <w:ilvl w:val="0"/>
          <w:numId w:val="3"/>
        </w:numPr>
        <w:jc w:val="both"/>
        <w:rPr>
          <w:sz w:val="22"/>
          <w:szCs w:val="22"/>
        </w:rPr>
      </w:pPr>
      <w:r w:rsidRPr="005165EC">
        <w:rPr>
          <w:sz w:val="22"/>
          <w:szCs w:val="22"/>
        </w:rPr>
        <w:t>Hernia de Grynfeltt-Lesgaft. Evaginación de peritoneo o saco, con o sin contenido visceral (grasa retroperitoneal, colon, intestino delgado o riñón) a tra- vés del triángulo de Grynfeltt-Lesgaft o triángulo lum- bar superior (sitio más común de localización de las hernias lumbares). Tiene una morfología inconstante y puede tener forma deltoidea, trapezoide, poliédrica o de cuadrilátero. La descripción más consistente en la literatura es un triángulo invertido, de ápice caudal por debajo de la doceava costilla. El borde medial es el músculo erector de la columna y el músculo oblicuo interno forma el borde lateral.</w:t>
      </w:r>
    </w:p>
    <w:p w14:paraId="158BA7ED" w14:textId="04DC404D" w:rsidR="005165EC" w:rsidRPr="005165EC" w:rsidRDefault="005165EC" w:rsidP="005165EC">
      <w:pPr>
        <w:ind w:left="720"/>
        <w:jc w:val="both"/>
        <w:rPr>
          <w:sz w:val="22"/>
          <w:szCs w:val="22"/>
        </w:rPr>
      </w:pPr>
      <w:r w:rsidRPr="005165EC">
        <w:rPr>
          <w:sz w:val="22"/>
          <w:szCs w:val="22"/>
        </w:rPr>
        <w:t xml:space="preserve"> </w:t>
      </w:r>
    </w:p>
    <w:p w14:paraId="29B5F755" w14:textId="77777777" w:rsidR="005165EC" w:rsidRPr="005165EC" w:rsidRDefault="005165EC" w:rsidP="005165EC">
      <w:pPr>
        <w:jc w:val="both"/>
        <w:rPr>
          <w:b/>
          <w:bCs/>
          <w:sz w:val="22"/>
          <w:szCs w:val="22"/>
        </w:rPr>
      </w:pPr>
      <w:r w:rsidRPr="005165EC">
        <w:rPr>
          <w:b/>
          <w:bCs/>
          <w:sz w:val="22"/>
          <w:szCs w:val="22"/>
        </w:rPr>
        <w:lastRenderedPageBreak/>
        <w:t xml:space="preserve">Hernia de Richter (enterocele parcial) </w:t>
      </w:r>
    </w:p>
    <w:p w14:paraId="31F4F9E7" w14:textId="77777777" w:rsidR="005165EC" w:rsidRPr="005165EC" w:rsidRDefault="005165EC" w:rsidP="005165EC">
      <w:pPr>
        <w:jc w:val="both"/>
        <w:rPr>
          <w:b/>
          <w:bCs/>
          <w:sz w:val="22"/>
          <w:szCs w:val="22"/>
        </w:rPr>
      </w:pPr>
    </w:p>
    <w:p w14:paraId="44DE2F40" w14:textId="25314CB5" w:rsidR="005165EC" w:rsidRPr="005165EC" w:rsidRDefault="005165EC" w:rsidP="005165EC">
      <w:pPr>
        <w:jc w:val="both"/>
        <w:rPr>
          <w:sz w:val="22"/>
          <w:szCs w:val="22"/>
        </w:rPr>
      </w:pPr>
      <w:r w:rsidRPr="005165EC">
        <w:rPr>
          <w:sz w:val="22"/>
          <w:szCs w:val="22"/>
        </w:rPr>
        <w:t xml:space="preserve">Protrusión y/o estrangulación de sólo una parte de la circunferencia del borde antimesentérico del intestino a través de un defecto de pared abdominal pequeño y rí- gido. Fabricius Hildanus reportó el primer caso en 1696. La primera descripción científica de esta hernia fue he- cha por August Gottlob Richter en 1778. El segmento de intestino comprometido es casi siempre la poción distal/ terminal del íleon, pero hay reportes de hernias de Ri- chter con compromiso gástrico, colónico, apendicular, etc. Las hernias de Richter tienden a progresar más rápi- damente a la gangrena que el resto de las hernias es- tranguladas. </w:t>
      </w:r>
    </w:p>
    <w:p w14:paraId="1AC78D02" w14:textId="77777777" w:rsidR="005165EC" w:rsidRPr="005165EC" w:rsidRDefault="005165EC" w:rsidP="005165EC">
      <w:pPr>
        <w:jc w:val="both"/>
        <w:rPr>
          <w:b/>
          <w:bCs/>
          <w:sz w:val="22"/>
          <w:szCs w:val="22"/>
        </w:rPr>
      </w:pPr>
      <w:r w:rsidRPr="005165EC">
        <w:rPr>
          <w:b/>
          <w:bCs/>
          <w:sz w:val="22"/>
          <w:szCs w:val="22"/>
        </w:rPr>
        <w:t xml:space="preserve">Hernia de Romberg </w:t>
      </w:r>
    </w:p>
    <w:p w14:paraId="2963D847" w14:textId="77777777" w:rsidR="005165EC" w:rsidRPr="005165EC" w:rsidRDefault="005165EC" w:rsidP="005165EC">
      <w:pPr>
        <w:jc w:val="both"/>
        <w:rPr>
          <w:b/>
          <w:bCs/>
          <w:sz w:val="22"/>
          <w:szCs w:val="22"/>
        </w:rPr>
      </w:pPr>
    </w:p>
    <w:p w14:paraId="747948A2" w14:textId="77777777" w:rsidR="005165EC" w:rsidRPr="005165EC" w:rsidRDefault="005165EC" w:rsidP="005165EC">
      <w:pPr>
        <w:jc w:val="both"/>
        <w:rPr>
          <w:sz w:val="22"/>
          <w:szCs w:val="22"/>
        </w:rPr>
      </w:pPr>
      <w:r w:rsidRPr="005165EC">
        <w:rPr>
          <w:sz w:val="22"/>
          <w:szCs w:val="22"/>
        </w:rPr>
        <w:t xml:space="preserve">• Hernias en pantalón o hernias inguinales mix- tas. Representan aproximadamente 15% de los ca- sos. Es una combinación de ambas (directa e indirec- ta). También se le conoce como hernia en pantalón por la separación que dejan los vasos epigástricos en- tre ambos sacos. </w:t>
      </w:r>
    </w:p>
    <w:p w14:paraId="6BE476EB" w14:textId="77777777" w:rsidR="005165EC" w:rsidRPr="005165EC" w:rsidRDefault="005165EC" w:rsidP="005165EC">
      <w:pPr>
        <w:jc w:val="both"/>
        <w:rPr>
          <w:sz w:val="22"/>
          <w:szCs w:val="22"/>
        </w:rPr>
      </w:pPr>
      <w:r w:rsidRPr="005165EC">
        <w:rPr>
          <w:sz w:val="22"/>
          <w:szCs w:val="22"/>
        </w:rPr>
        <w:t xml:space="preserve">Hernia de Spiegel </w:t>
      </w:r>
    </w:p>
    <w:p w14:paraId="36B3102E" w14:textId="75785A68" w:rsidR="005165EC" w:rsidRPr="005165EC" w:rsidRDefault="005165EC" w:rsidP="005165EC">
      <w:pPr>
        <w:jc w:val="both"/>
        <w:rPr>
          <w:sz w:val="22"/>
          <w:szCs w:val="22"/>
        </w:rPr>
      </w:pPr>
      <w:r w:rsidRPr="005165EC">
        <w:rPr>
          <w:sz w:val="22"/>
          <w:szCs w:val="22"/>
        </w:rPr>
        <w:t>La hernia de Spiegel ocurre por debilidad de la fascia semilunar, situada entre el borde lateral del músculo rec- to anterior y el margen medial de la musculatura lateral de la pared abdominal, lo que permite a los contenidos abdominales atravesar la aponeurosis de los músculos trans- verso y oblicuo interno, quedando cubiertos por el múscu- lo oblicuo externo intacto. El contenido herniario puede ser grasa preperitoneal, grasa peritoneal o intestino tanto delgado como grueso.</w:t>
      </w:r>
    </w:p>
    <w:p w14:paraId="2B74D57D" w14:textId="77777777" w:rsidR="005165EC" w:rsidRPr="005165EC" w:rsidRDefault="005165EC" w:rsidP="00992193">
      <w:pPr>
        <w:jc w:val="both"/>
        <w:rPr>
          <w:sz w:val="28"/>
          <w:szCs w:val="28"/>
        </w:rPr>
      </w:pPr>
    </w:p>
    <w:sectPr w:rsidR="005165EC" w:rsidRPr="005165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60379"/>
    <w:multiLevelType w:val="multilevel"/>
    <w:tmpl w:val="DB4C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B6528"/>
    <w:multiLevelType w:val="multilevel"/>
    <w:tmpl w:val="1774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95B5B"/>
    <w:multiLevelType w:val="multilevel"/>
    <w:tmpl w:val="FED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9091635">
    <w:abstractNumId w:val="1"/>
  </w:num>
  <w:num w:numId="2" w16cid:durableId="1748267141">
    <w:abstractNumId w:val="0"/>
  </w:num>
  <w:num w:numId="3" w16cid:durableId="1736051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93"/>
    <w:rsid w:val="00025107"/>
    <w:rsid w:val="002424DF"/>
    <w:rsid w:val="002E5BE2"/>
    <w:rsid w:val="005165EC"/>
    <w:rsid w:val="00614749"/>
    <w:rsid w:val="00882837"/>
    <w:rsid w:val="00992193"/>
    <w:rsid w:val="00B21DEB"/>
    <w:rsid w:val="00BA35CE"/>
    <w:rsid w:val="00D44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602BAB"/>
  <w15:chartTrackingRefBased/>
  <w15:docId w15:val="{0F0DF1C7-A5FA-EB45-9326-A2126A85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2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92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21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21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21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219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219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219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219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1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921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21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21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21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21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21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21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2193"/>
    <w:rPr>
      <w:rFonts w:eastAsiaTheme="majorEastAsia" w:cstheme="majorBidi"/>
      <w:color w:val="272727" w:themeColor="text1" w:themeTint="D8"/>
    </w:rPr>
  </w:style>
  <w:style w:type="paragraph" w:styleId="Ttulo">
    <w:name w:val="Title"/>
    <w:basedOn w:val="Normal"/>
    <w:next w:val="Normal"/>
    <w:link w:val="TtuloCar"/>
    <w:uiPriority w:val="10"/>
    <w:qFormat/>
    <w:rsid w:val="0099219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21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219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21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219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92193"/>
    <w:rPr>
      <w:i/>
      <w:iCs/>
      <w:color w:val="404040" w:themeColor="text1" w:themeTint="BF"/>
    </w:rPr>
  </w:style>
  <w:style w:type="paragraph" w:styleId="Prrafodelista">
    <w:name w:val="List Paragraph"/>
    <w:basedOn w:val="Normal"/>
    <w:uiPriority w:val="34"/>
    <w:qFormat/>
    <w:rsid w:val="00992193"/>
    <w:pPr>
      <w:ind w:left="720"/>
      <w:contextualSpacing/>
    </w:pPr>
  </w:style>
  <w:style w:type="character" w:styleId="nfasisintenso">
    <w:name w:val="Intense Emphasis"/>
    <w:basedOn w:val="Fuentedeprrafopredeter"/>
    <w:uiPriority w:val="21"/>
    <w:qFormat/>
    <w:rsid w:val="00992193"/>
    <w:rPr>
      <w:i/>
      <w:iCs/>
      <w:color w:val="0F4761" w:themeColor="accent1" w:themeShade="BF"/>
    </w:rPr>
  </w:style>
  <w:style w:type="paragraph" w:styleId="Citadestacada">
    <w:name w:val="Intense Quote"/>
    <w:basedOn w:val="Normal"/>
    <w:next w:val="Normal"/>
    <w:link w:val="CitadestacadaCar"/>
    <w:uiPriority w:val="30"/>
    <w:qFormat/>
    <w:rsid w:val="00992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2193"/>
    <w:rPr>
      <w:i/>
      <w:iCs/>
      <w:color w:val="0F4761" w:themeColor="accent1" w:themeShade="BF"/>
    </w:rPr>
  </w:style>
  <w:style w:type="character" w:styleId="Referenciaintensa">
    <w:name w:val="Intense Reference"/>
    <w:basedOn w:val="Fuentedeprrafopredeter"/>
    <w:uiPriority w:val="32"/>
    <w:qFormat/>
    <w:rsid w:val="00992193"/>
    <w:rPr>
      <w:b/>
      <w:bCs/>
      <w:smallCaps/>
      <w:color w:val="0F4761" w:themeColor="accent1" w:themeShade="BF"/>
      <w:spacing w:val="5"/>
    </w:rPr>
  </w:style>
  <w:style w:type="paragraph" w:styleId="NormalWeb">
    <w:name w:val="Normal (Web)"/>
    <w:basedOn w:val="Normal"/>
    <w:uiPriority w:val="99"/>
    <w:semiHidden/>
    <w:unhideWhenUsed/>
    <w:rsid w:val="005165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5997">
      <w:bodyDiv w:val="1"/>
      <w:marLeft w:val="0"/>
      <w:marRight w:val="0"/>
      <w:marTop w:val="0"/>
      <w:marBottom w:val="0"/>
      <w:divBdr>
        <w:top w:val="none" w:sz="0" w:space="0" w:color="auto"/>
        <w:left w:val="none" w:sz="0" w:space="0" w:color="auto"/>
        <w:bottom w:val="none" w:sz="0" w:space="0" w:color="auto"/>
        <w:right w:val="none" w:sz="0" w:space="0" w:color="auto"/>
      </w:divBdr>
      <w:divsChild>
        <w:div w:id="442264834">
          <w:marLeft w:val="0"/>
          <w:marRight w:val="0"/>
          <w:marTop w:val="0"/>
          <w:marBottom w:val="0"/>
          <w:divBdr>
            <w:top w:val="none" w:sz="0" w:space="0" w:color="auto"/>
            <w:left w:val="none" w:sz="0" w:space="0" w:color="auto"/>
            <w:bottom w:val="none" w:sz="0" w:space="0" w:color="auto"/>
            <w:right w:val="none" w:sz="0" w:space="0" w:color="auto"/>
          </w:divBdr>
        </w:div>
        <w:div w:id="384724397">
          <w:marLeft w:val="0"/>
          <w:marRight w:val="0"/>
          <w:marTop w:val="0"/>
          <w:marBottom w:val="0"/>
          <w:divBdr>
            <w:top w:val="none" w:sz="0" w:space="0" w:color="auto"/>
            <w:left w:val="none" w:sz="0" w:space="0" w:color="auto"/>
            <w:bottom w:val="none" w:sz="0" w:space="0" w:color="auto"/>
            <w:right w:val="none" w:sz="0" w:space="0" w:color="auto"/>
          </w:divBdr>
        </w:div>
        <w:div w:id="533541892">
          <w:marLeft w:val="0"/>
          <w:marRight w:val="0"/>
          <w:marTop w:val="0"/>
          <w:marBottom w:val="0"/>
          <w:divBdr>
            <w:top w:val="none" w:sz="0" w:space="0" w:color="auto"/>
            <w:left w:val="none" w:sz="0" w:space="0" w:color="auto"/>
            <w:bottom w:val="none" w:sz="0" w:space="0" w:color="auto"/>
            <w:right w:val="none" w:sz="0" w:space="0" w:color="auto"/>
          </w:divBdr>
        </w:div>
      </w:divsChild>
    </w:div>
    <w:div w:id="173304725">
      <w:bodyDiv w:val="1"/>
      <w:marLeft w:val="0"/>
      <w:marRight w:val="0"/>
      <w:marTop w:val="0"/>
      <w:marBottom w:val="0"/>
      <w:divBdr>
        <w:top w:val="none" w:sz="0" w:space="0" w:color="auto"/>
        <w:left w:val="none" w:sz="0" w:space="0" w:color="auto"/>
        <w:bottom w:val="none" w:sz="0" w:space="0" w:color="auto"/>
        <w:right w:val="none" w:sz="0" w:space="0" w:color="auto"/>
      </w:divBdr>
      <w:divsChild>
        <w:div w:id="784538483">
          <w:marLeft w:val="0"/>
          <w:marRight w:val="0"/>
          <w:marTop w:val="0"/>
          <w:marBottom w:val="0"/>
          <w:divBdr>
            <w:top w:val="none" w:sz="0" w:space="0" w:color="auto"/>
            <w:left w:val="none" w:sz="0" w:space="0" w:color="auto"/>
            <w:bottom w:val="none" w:sz="0" w:space="0" w:color="auto"/>
            <w:right w:val="none" w:sz="0" w:space="0" w:color="auto"/>
          </w:divBdr>
          <w:divsChild>
            <w:div w:id="723867655">
              <w:marLeft w:val="0"/>
              <w:marRight w:val="0"/>
              <w:marTop w:val="0"/>
              <w:marBottom w:val="0"/>
              <w:divBdr>
                <w:top w:val="none" w:sz="0" w:space="0" w:color="auto"/>
                <w:left w:val="none" w:sz="0" w:space="0" w:color="auto"/>
                <w:bottom w:val="none" w:sz="0" w:space="0" w:color="auto"/>
                <w:right w:val="none" w:sz="0" w:space="0" w:color="auto"/>
              </w:divBdr>
              <w:divsChild>
                <w:div w:id="16564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6208">
      <w:bodyDiv w:val="1"/>
      <w:marLeft w:val="0"/>
      <w:marRight w:val="0"/>
      <w:marTop w:val="0"/>
      <w:marBottom w:val="0"/>
      <w:divBdr>
        <w:top w:val="none" w:sz="0" w:space="0" w:color="auto"/>
        <w:left w:val="none" w:sz="0" w:space="0" w:color="auto"/>
        <w:bottom w:val="none" w:sz="0" w:space="0" w:color="auto"/>
        <w:right w:val="none" w:sz="0" w:space="0" w:color="auto"/>
      </w:divBdr>
      <w:divsChild>
        <w:div w:id="1438600495">
          <w:marLeft w:val="0"/>
          <w:marRight w:val="0"/>
          <w:marTop w:val="0"/>
          <w:marBottom w:val="0"/>
          <w:divBdr>
            <w:top w:val="none" w:sz="0" w:space="0" w:color="auto"/>
            <w:left w:val="none" w:sz="0" w:space="0" w:color="auto"/>
            <w:bottom w:val="none" w:sz="0" w:space="0" w:color="auto"/>
            <w:right w:val="none" w:sz="0" w:space="0" w:color="auto"/>
          </w:divBdr>
          <w:divsChild>
            <w:div w:id="496650220">
              <w:marLeft w:val="0"/>
              <w:marRight w:val="0"/>
              <w:marTop w:val="0"/>
              <w:marBottom w:val="0"/>
              <w:divBdr>
                <w:top w:val="none" w:sz="0" w:space="0" w:color="auto"/>
                <w:left w:val="none" w:sz="0" w:space="0" w:color="auto"/>
                <w:bottom w:val="none" w:sz="0" w:space="0" w:color="auto"/>
                <w:right w:val="none" w:sz="0" w:space="0" w:color="auto"/>
              </w:divBdr>
              <w:divsChild>
                <w:div w:id="18009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43207">
      <w:bodyDiv w:val="1"/>
      <w:marLeft w:val="0"/>
      <w:marRight w:val="0"/>
      <w:marTop w:val="0"/>
      <w:marBottom w:val="0"/>
      <w:divBdr>
        <w:top w:val="none" w:sz="0" w:space="0" w:color="auto"/>
        <w:left w:val="none" w:sz="0" w:space="0" w:color="auto"/>
        <w:bottom w:val="none" w:sz="0" w:space="0" w:color="auto"/>
        <w:right w:val="none" w:sz="0" w:space="0" w:color="auto"/>
      </w:divBdr>
      <w:divsChild>
        <w:div w:id="1237133259">
          <w:marLeft w:val="0"/>
          <w:marRight w:val="0"/>
          <w:marTop w:val="0"/>
          <w:marBottom w:val="0"/>
          <w:divBdr>
            <w:top w:val="none" w:sz="0" w:space="0" w:color="auto"/>
            <w:left w:val="none" w:sz="0" w:space="0" w:color="auto"/>
            <w:bottom w:val="none" w:sz="0" w:space="0" w:color="auto"/>
            <w:right w:val="none" w:sz="0" w:space="0" w:color="auto"/>
          </w:divBdr>
          <w:divsChild>
            <w:div w:id="718361204">
              <w:marLeft w:val="0"/>
              <w:marRight w:val="0"/>
              <w:marTop w:val="0"/>
              <w:marBottom w:val="0"/>
              <w:divBdr>
                <w:top w:val="none" w:sz="0" w:space="0" w:color="auto"/>
                <w:left w:val="none" w:sz="0" w:space="0" w:color="auto"/>
                <w:bottom w:val="none" w:sz="0" w:space="0" w:color="auto"/>
                <w:right w:val="none" w:sz="0" w:space="0" w:color="auto"/>
              </w:divBdr>
              <w:divsChild>
                <w:div w:id="1930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2667">
      <w:bodyDiv w:val="1"/>
      <w:marLeft w:val="0"/>
      <w:marRight w:val="0"/>
      <w:marTop w:val="0"/>
      <w:marBottom w:val="0"/>
      <w:divBdr>
        <w:top w:val="none" w:sz="0" w:space="0" w:color="auto"/>
        <w:left w:val="none" w:sz="0" w:space="0" w:color="auto"/>
        <w:bottom w:val="none" w:sz="0" w:space="0" w:color="auto"/>
        <w:right w:val="none" w:sz="0" w:space="0" w:color="auto"/>
      </w:divBdr>
      <w:divsChild>
        <w:div w:id="694623248">
          <w:marLeft w:val="0"/>
          <w:marRight w:val="0"/>
          <w:marTop w:val="0"/>
          <w:marBottom w:val="0"/>
          <w:divBdr>
            <w:top w:val="none" w:sz="0" w:space="0" w:color="auto"/>
            <w:left w:val="none" w:sz="0" w:space="0" w:color="auto"/>
            <w:bottom w:val="none" w:sz="0" w:space="0" w:color="auto"/>
            <w:right w:val="none" w:sz="0" w:space="0" w:color="auto"/>
          </w:divBdr>
        </w:div>
        <w:div w:id="381752402">
          <w:marLeft w:val="0"/>
          <w:marRight w:val="0"/>
          <w:marTop w:val="0"/>
          <w:marBottom w:val="0"/>
          <w:divBdr>
            <w:top w:val="none" w:sz="0" w:space="0" w:color="auto"/>
            <w:left w:val="none" w:sz="0" w:space="0" w:color="auto"/>
            <w:bottom w:val="none" w:sz="0" w:space="0" w:color="auto"/>
            <w:right w:val="none" w:sz="0" w:space="0" w:color="auto"/>
          </w:divBdr>
        </w:div>
        <w:div w:id="324473865">
          <w:marLeft w:val="0"/>
          <w:marRight w:val="0"/>
          <w:marTop w:val="0"/>
          <w:marBottom w:val="0"/>
          <w:divBdr>
            <w:top w:val="none" w:sz="0" w:space="0" w:color="auto"/>
            <w:left w:val="none" w:sz="0" w:space="0" w:color="auto"/>
            <w:bottom w:val="none" w:sz="0" w:space="0" w:color="auto"/>
            <w:right w:val="none" w:sz="0" w:space="0" w:color="auto"/>
          </w:divBdr>
        </w:div>
      </w:divsChild>
    </w:div>
    <w:div w:id="579484532">
      <w:bodyDiv w:val="1"/>
      <w:marLeft w:val="0"/>
      <w:marRight w:val="0"/>
      <w:marTop w:val="0"/>
      <w:marBottom w:val="0"/>
      <w:divBdr>
        <w:top w:val="none" w:sz="0" w:space="0" w:color="auto"/>
        <w:left w:val="none" w:sz="0" w:space="0" w:color="auto"/>
        <w:bottom w:val="none" w:sz="0" w:space="0" w:color="auto"/>
        <w:right w:val="none" w:sz="0" w:space="0" w:color="auto"/>
      </w:divBdr>
      <w:divsChild>
        <w:div w:id="1858159391">
          <w:marLeft w:val="0"/>
          <w:marRight w:val="0"/>
          <w:marTop w:val="0"/>
          <w:marBottom w:val="0"/>
          <w:divBdr>
            <w:top w:val="none" w:sz="0" w:space="0" w:color="auto"/>
            <w:left w:val="none" w:sz="0" w:space="0" w:color="auto"/>
            <w:bottom w:val="none" w:sz="0" w:space="0" w:color="auto"/>
            <w:right w:val="none" w:sz="0" w:space="0" w:color="auto"/>
          </w:divBdr>
          <w:divsChild>
            <w:div w:id="825514183">
              <w:marLeft w:val="0"/>
              <w:marRight w:val="0"/>
              <w:marTop w:val="0"/>
              <w:marBottom w:val="0"/>
              <w:divBdr>
                <w:top w:val="none" w:sz="0" w:space="0" w:color="auto"/>
                <w:left w:val="none" w:sz="0" w:space="0" w:color="auto"/>
                <w:bottom w:val="none" w:sz="0" w:space="0" w:color="auto"/>
                <w:right w:val="none" w:sz="0" w:space="0" w:color="auto"/>
              </w:divBdr>
              <w:divsChild>
                <w:div w:id="15820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1084">
      <w:bodyDiv w:val="1"/>
      <w:marLeft w:val="0"/>
      <w:marRight w:val="0"/>
      <w:marTop w:val="0"/>
      <w:marBottom w:val="0"/>
      <w:divBdr>
        <w:top w:val="none" w:sz="0" w:space="0" w:color="auto"/>
        <w:left w:val="none" w:sz="0" w:space="0" w:color="auto"/>
        <w:bottom w:val="none" w:sz="0" w:space="0" w:color="auto"/>
        <w:right w:val="none" w:sz="0" w:space="0" w:color="auto"/>
      </w:divBdr>
      <w:divsChild>
        <w:div w:id="786049491">
          <w:marLeft w:val="0"/>
          <w:marRight w:val="0"/>
          <w:marTop w:val="0"/>
          <w:marBottom w:val="0"/>
          <w:divBdr>
            <w:top w:val="none" w:sz="0" w:space="0" w:color="auto"/>
            <w:left w:val="none" w:sz="0" w:space="0" w:color="auto"/>
            <w:bottom w:val="none" w:sz="0" w:space="0" w:color="auto"/>
            <w:right w:val="none" w:sz="0" w:space="0" w:color="auto"/>
          </w:divBdr>
          <w:divsChild>
            <w:div w:id="399518317">
              <w:marLeft w:val="0"/>
              <w:marRight w:val="0"/>
              <w:marTop w:val="0"/>
              <w:marBottom w:val="0"/>
              <w:divBdr>
                <w:top w:val="none" w:sz="0" w:space="0" w:color="auto"/>
                <w:left w:val="none" w:sz="0" w:space="0" w:color="auto"/>
                <w:bottom w:val="none" w:sz="0" w:space="0" w:color="auto"/>
                <w:right w:val="none" w:sz="0" w:space="0" w:color="auto"/>
              </w:divBdr>
              <w:divsChild>
                <w:div w:id="11774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435">
      <w:bodyDiv w:val="1"/>
      <w:marLeft w:val="0"/>
      <w:marRight w:val="0"/>
      <w:marTop w:val="0"/>
      <w:marBottom w:val="0"/>
      <w:divBdr>
        <w:top w:val="none" w:sz="0" w:space="0" w:color="auto"/>
        <w:left w:val="none" w:sz="0" w:space="0" w:color="auto"/>
        <w:bottom w:val="none" w:sz="0" w:space="0" w:color="auto"/>
        <w:right w:val="none" w:sz="0" w:space="0" w:color="auto"/>
      </w:divBdr>
      <w:divsChild>
        <w:div w:id="722606586">
          <w:marLeft w:val="0"/>
          <w:marRight w:val="0"/>
          <w:marTop w:val="0"/>
          <w:marBottom w:val="0"/>
          <w:divBdr>
            <w:top w:val="none" w:sz="0" w:space="0" w:color="auto"/>
            <w:left w:val="none" w:sz="0" w:space="0" w:color="auto"/>
            <w:bottom w:val="none" w:sz="0" w:space="0" w:color="auto"/>
            <w:right w:val="none" w:sz="0" w:space="0" w:color="auto"/>
          </w:divBdr>
          <w:divsChild>
            <w:div w:id="2051492720">
              <w:marLeft w:val="0"/>
              <w:marRight w:val="0"/>
              <w:marTop w:val="0"/>
              <w:marBottom w:val="0"/>
              <w:divBdr>
                <w:top w:val="none" w:sz="0" w:space="0" w:color="auto"/>
                <w:left w:val="none" w:sz="0" w:space="0" w:color="auto"/>
                <w:bottom w:val="none" w:sz="0" w:space="0" w:color="auto"/>
                <w:right w:val="none" w:sz="0" w:space="0" w:color="auto"/>
              </w:divBdr>
              <w:divsChild>
                <w:div w:id="855844920">
                  <w:marLeft w:val="0"/>
                  <w:marRight w:val="0"/>
                  <w:marTop w:val="0"/>
                  <w:marBottom w:val="0"/>
                  <w:divBdr>
                    <w:top w:val="none" w:sz="0" w:space="0" w:color="auto"/>
                    <w:left w:val="none" w:sz="0" w:space="0" w:color="auto"/>
                    <w:bottom w:val="none" w:sz="0" w:space="0" w:color="auto"/>
                    <w:right w:val="none" w:sz="0" w:space="0" w:color="auto"/>
                  </w:divBdr>
                </w:div>
                <w:div w:id="19903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7869">
      <w:bodyDiv w:val="1"/>
      <w:marLeft w:val="0"/>
      <w:marRight w:val="0"/>
      <w:marTop w:val="0"/>
      <w:marBottom w:val="0"/>
      <w:divBdr>
        <w:top w:val="none" w:sz="0" w:space="0" w:color="auto"/>
        <w:left w:val="none" w:sz="0" w:space="0" w:color="auto"/>
        <w:bottom w:val="none" w:sz="0" w:space="0" w:color="auto"/>
        <w:right w:val="none" w:sz="0" w:space="0" w:color="auto"/>
      </w:divBdr>
      <w:divsChild>
        <w:div w:id="1706708498">
          <w:marLeft w:val="0"/>
          <w:marRight w:val="0"/>
          <w:marTop w:val="0"/>
          <w:marBottom w:val="0"/>
          <w:divBdr>
            <w:top w:val="none" w:sz="0" w:space="0" w:color="auto"/>
            <w:left w:val="none" w:sz="0" w:space="0" w:color="auto"/>
            <w:bottom w:val="none" w:sz="0" w:space="0" w:color="auto"/>
            <w:right w:val="none" w:sz="0" w:space="0" w:color="auto"/>
          </w:divBdr>
          <w:divsChild>
            <w:div w:id="1641418655">
              <w:marLeft w:val="0"/>
              <w:marRight w:val="0"/>
              <w:marTop w:val="0"/>
              <w:marBottom w:val="0"/>
              <w:divBdr>
                <w:top w:val="none" w:sz="0" w:space="0" w:color="auto"/>
                <w:left w:val="none" w:sz="0" w:space="0" w:color="auto"/>
                <w:bottom w:val="none" w:sz="0" w:space="0" w:color="auto"/>
                <w:right w:val="none" w:sz="0" w:space="0" w:color="auto"/>
              </w:divBdr>
              <w:divsChild>
                <w:div w:id="1866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8256">
      <w:bodyDiv w:val="1"/>
      <w:marLeft w:val="0"/>
      <w:marRight w:val="0"/>
      <w:marTop w:val="0"/>
      <w:marBottom w:val="0"/>
      <w:divBdr>
        <w:top w:val="none" w:sz="0" w:space="0" w:color="auto"/>
        <w:left w:val="none" w:sz="0" w:space="0" w:color="auto"/>
        <w:bottom w:val="none" w:sz="0" w:space="0" w:color="auto"/>
        <w:right w:val="none" w:sz="0" w:space="0" w:color="auto"/>
      </w:divBdr>
    </w:div>
    <w:div w:id="1577472757">
      <w:bodyDiv w:val="1"/>
      <w:marLeft w:val="0"/>
      <w:marRight w:val="0"/>
      <w:marTop w:val="0"/>
      <w:marBottom w:val="0"/>
      <w:divBdr>
        <w:top w:val="none" w:sz="0" w:space="0" w:color="auto"/>
        <w:left w:val="none" w:sz="0" w:space="0" w:color="auto"/>
        <w:bottom w:val="none" w:sz="0" w:space="0" w:color="auto"/>
        <w:right w:val="none" w:sz="0" w:space="0" w:color="auto"/>
      </w:divBdr>
      <w:divsChild>
        <w:div w:id="1272316553">
          <w:marLeft w:val="0"/>
          <w:marRight w:val="0"/>
          <w:marTop w:val="0"/>
          <w:marBottom w:val="0"/>
          <w:divBdr>
            <w:top w:val="none" w:sz="0" w:space="0" w:color="auto"/>
            <w:left w:val="none" w:sz="0" w:space="0" w:color="auto"/>
            <w:bottom w:val="none" w:sz="0" w:space="0" w:color="auto"/>
            <w:right w:val="none" w:sz="0" w:space="0" w:color="auto"/>
          </w:divBdr>
        </w:div>
        <w:div w:id="1285045138">
          <w:marLeft w:val="0"/>
          <w:marRight w:val="0"/>
          <w:marTop w:val="0"/>
          <w:marBottom w:val="0"/>
          <w:divBdr>
            <w:top w:val="none" w:sz="0" w:space="0" w:color="auto"/>
            <w:left w:val="none" w:sz="0" w:space="0" w:color="auto"/>
            <w:bottom w:val="none" w:sz="0" w:space="0" w:color="auto"/>
            <w:right w:val="none" w:sz="0" w:space="0" w:color="auto"/>
          </w:divBdr>
        </w:div>
        <w:div w:id="1966807041">
          <w:marLeft w:val="0"/>
          <w:marRight w:val="0"/>
          <w:marTop w:val="0"/>
          <w:marBottom w:val="0"/>
          <w:divBdr>
            <w:top w:val="none" w:sz="0" w:space="0" w:color="auto"/>
            <w:left w:val="none" w:sz="0" w:space="0" w:color="auto"/>
            <w:bottom w:val="none" w:sz="0" w:space="0" w:color="auto"/>
            <w:right w:val="none" w:sz="0" w:space="0" w:color="auto"/>
          </w:divBdr>
        </w:div>
      </w:divsChild>
    </w:div>
    <w:div w:id="1636641487">
      <w:bodyDiv w:val="1"/>
      <w:marLeft w:val="0"/>
      <w:marRight w:val="0"/>
      <w:marTop w:val="0"/>
      <w:marBottom w:val="0"/>
      <w:divBdr>
        <w:top w:val="none" w:sz="0" w:space="0" w:color="auto"/>
        <w:left w:val="none" w:sz="0" w:space="0" w:color="auto"/>
        <w:bottom w:val="none" w:sz="0" w:space="0" w:color="auto"/>
        <w:right w:val="none" w:sz="0" w:space="0" w:color="auto"/>
      </w:divBdr>
      <w:divsChild>
        <w:div w:id="501628288">
          <w:marLeft w:val="0"/>
          <w:marRight w:val="0"/>
          <w:marTop w:val="0"/>
          <w:marBottom w:val="0"/>
          <w:divBdr>
            <w:top w:val="none" w:sz="0" w:space="0" w:color="auto"/>
            <w:left w:val="none" w:sz="0" w:space="0" w:color="auto"/>
            <w:bottom w:val="none" w:sz="0" w:space="0" w:color="auto"/>
            <w:right w:val="none" w:sz="0" w:space="0" w:color="auto"/>
          </w:divBdr>
          <w:divsChild>
            <w:div w:id="2142069627">
              <w:marLeft w:val="0"/>
              <w:marRight w:val="0"/>
              <w:marTop w:val="0"/>
              <w:marBottom w:val="0"/>
              <w:divBdr>
                <w:top w:val="none" w:sz="0" w:space="0" w:color="auto"/>
                <w:left w:val="none" w:sz="0" w:space="0" w:color="auto"/>
                <w:bottom w:val="none" w:sz="0" w:space="0" w:color="auto"/>
                <w:right w:val="none" w:sz="0" w:space="0" w:color="auto"/>
              </w:divBdr>
              <w:divsChild>
                <w:div w:id="1158570185">
                  <w:marLeft w:val="0"/>
                  <w:marRight w:val="0"/>
                  <w:marTop w:val="0"/>
                  <w:marBottom w:val="0"/>
                  <w:divBdr>
                    <w:top w:val="none" w:sz="0" w:space="0" w:color="auto"/>
                    <w:left w:val="none" w:sz="0" w:space="0" w:color="auto"/>
                    <w:bottom w:val="none" w:sz="0" w:space="0" w:color="auto"/>
                    <w:right w:val="none" w:sz="0" w:space="0" w:color="auto"/>
                  </w:divBdr>
                </w:div>
                <w:div w:id="8819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91874">
      <w:bodyDiv w:val="1"/>
      <w:marLeft w:val="0"/>
      <w:marRight w:val="0"/>
      <w:marTop w:val="0"/>
      <w:marBottom w:val="0"/>
      <w:divBdr>
        <w:top w:val="none" w:sz="0" w:space="0" w:color="auto"/>
        <w:left w:val="none" w:sz="0" w:space="0" w:color="auto"/>
        <w:bottom w:val="none" w:sz="0" w:space="0" w:color="auto"/>
        <w:right w:val="none" w:sz="0" w:space="0" w:color="auto"/>
      </w:divBdr>
    </w:div>
    <w:div w:id="1744639247">
      <w:bodyDiv w:val="1"/>
      <w:marLeft w:val="0"/>
      <w:marRight w:val="0"/>
      <w:marTop w:val="0"/>
      <w:marBottom w:val="0"/>
      <w:divBdr>
        <w:top w:val="none" w:sz="0" w:space="0" w:color="auto"/>
        <w:left w:val="none" w:sz="0" w:space="0" w:color="auto"/>
        <w:bottom w:val="none" w:sz="0" w:space="0" w:color="auto"/>
        <w:right w:val="none" w:sz="0" w:space="0" w:color="auto"/>
      </w:divBdr>
      <w:divsChild>
        <w:div w:id="198706072">
          <w:marLeft w:val="0"/>
          <w:marRight w:val="0"/>
          <w:marTop w:val="0"/>
          <w:marBottom w:val="0"/>
          <w:divBdr>
            <w:top w:val="none" w:sz="0" w:space="0" w:color="auto"/>
            <w:left w:val="none" w:sz="0" w:space="0" w:color="auto"/>
            <w:bottom w:val="none" w:sz="0" w:space="0" w:color="auto"/>
            <w:right w:val="none" w:sz="0" w:space="0" w:color="auto"/>
          </w:divBdr>
        </w:div>
        <w:div w:id="1662002319">
          <w:marLeft w:val="0"/>
          <w:marRight w:val="0"/>
          <w:marTop w:val="0"/>
          <w:marBottom w:val="0"/>
          <w:divBdr>
            <w:top w:val="none" w:sz="0" w:space="0" w:color="auto"/>
            <w:left w:val="none" w:sz="0" w:space="0" w:color="auto"/>
            <w:bottom w:val="none" w:sz="0" w:space="0" w:color="auto"/>
            <w:right w:val="none" w:sz="0" w:space="0" w:color="auto"/>
          </w:divBdr>
        </w:div>
        <w:div w:id="654068801">
          <w:marLeft w:val="0"/>
          <w:marRight w:val="0"/>
          <w:marTop w:val="0"/>
          <w:marBottom w:val="0"/>
          <w:divBdr>
            <w:top w:val="none" w:sz="0" w:space="0" w:color="auto"/>
            <w:left w:val="none" w:sz="0" w:space="0" w:color="auto"/>
            <w:bottom w:val="none" w:sz="0" w:space="0" w:color="auto"/>
            <w:right w:val="none" w:sz="0" w:space="0" w:color="auto"/>
          </w:divBdr>
        </w:div>
      </w:divsChild>
    </w:div>
    <w:div w:id="1821996843">
      <w:bodyDiv w:val="1"/>
      <w:marLeft w:val="0"/>
      <w:marRight w:val="0"/>
      <w:marTop w:val="0"/>
      <w:marBottom w:val="0"/>
      <w:divBdr>
        <w:top w:val="none" w:sz="0" w:space="0" w:color="auto"/>
        <w:left w:val="none" w:sz="0" w:space="0" w:color="auto"/>
        <w:bottom w:val="none" w:sz="0" w:space="0" w:color="auto"/>
        <w:right w:val="none" w:sz="0" w:space="0" w:color="auto"/>
      </w:divBdr>
      <w:divsChild>
        <w:div w:id="1536622627">
          <w:marLeft w:val="0"/>
          <w:marRight w:val="0"/>
          <w:marTop w:val="0"/>
          <w:marBottom w:val="0"/>
          <w:divBdr>
            <w:top w:val="none" w:sz="0" w:space="0" w:color="auto"/>
            <w:left w:val="none" w:sz="0" w:space="0" w:color="auto"/>
            <w:bottom w:val="none" w:sz="0" w:space="0" w:color="auto"/>
            <w:right w:val="none" w:sz="0" w:space="0" w:color="auto"/>
          </w:divBdr>
          <w:divsChild>
            <w:div w:id="1715890910">
              <w:marLeft w:val="0"/>
              <w:marRight w:val="0"/>
              <w:marTop w:val="0"/>
              <w:marBottom w:val="0"/>
              <w:divBdr>
                <w:top w:val="none" w:sz="0" w:space="0" w:color="auto"/>
                <w:left w:val="none" w:sz="0" w:space="0" w:color="auto"/>
                <w:bottom w:val="none" w:sz="0" w:space="0" w:color="auto"/>
                <w:right w:val="none" w:sz="0" w:space="0" w:color="auto"/>
              </w:divBdr>
            </w:div>
          </w:divsChild>
        </w:div>
        <w:div w:id="1377045858">
          <w:marLeft w:val="0"/>
          <w:marRight w:val="0"/>
          <w:marTop w:val="0"/>
          <w:marBottom w:val="0"/>
          <w:divBdr>
            <w:top w:val="none" w:sz="0" w:space="0" w:color="auto"/>
            <w:left w:val="none" w:sz="0" w:space="0" w:color="auto"/>
            <w:bottom w:val="none" w:sz="0" w:space="0" w:color="auto"/>
            <w:right w:val="none" w:sz="0" w:space="0" w:color="auto"/>
          </w:divBdr>
        </w:div>
      </w:divsChild>
    </w:div>
    <w:div w:id="2101102316">
      <w:bodyDiv w:val="1"/>
      <w:marLeft w:val="0"/>
      <w:marRight w:val="0"/>
      <w:marTop w:val="0"/>
      <w:marBottom w:val="0"/>
      <w:divBdr>
        <w:top w:val="none" w:sz="0" w:space="0" w:color="auto"/>
        <w:left w:val="none" w:sz="0" w:space="0" w:color="auto"/>
        <w:bottom w:val="none" w:sz="0" w:space="0" w:color="auto"/>
        <w:right w:val="none" w:sz="0" w:space="0" w:color="auto"/>
      </w:divBdr>
      <w:divsChild>
        <w:div w:id="1061949778">
          <w:marLeft w:val="0"/>
          <w:marRight w:val="0"/>
          <w:marTop w:val="0"/>
          <w:marBottom w:val="0"/>
          <w:divBdr>
            <w:top w:val="none" w:sz="0" w:space="0" w:color="auto"/>
            <w:left w:val="none" w:sz="0" w:space="0" w:color="auto"/>
            <w:bottom w:val="none" w:sz="0" w:space="0" w:color="auto"/>
            <w:right w:val="none" w:sz="0" w:space="0" w:color="auto"/>
          </w:divBdr>
          <w:divsChild>
            <w:div w:id="20325550">
              <w:marLeft w:val="0"/>
              <w:marRight w:val="0"/>
              <w:marTop w:val="0"/>
              <w:marBottom w:val="0"/>
              <w:divBdr>
                <w:top w:val="none" w:sz="0" w:space="0" w:color="auto"/>
                <w:left w:val="none" w:sz="0" w:space="0" w:color="auto"/>
                <w:bottom w:val="none" w:sz="0" w:space="0" w:color="auto"/>
                <w:right w:val="none" w:sz="0" w:space="0" w:color="auto"/>
              </w:divBdr>
            </w:div>
          </w:divsChild>
        </w:div>
        <w:div w:id="199236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santizdulcemariana03@gmail.com</dc:creator>
  <cp:keywords/>
  <dc:description/>
  <cp:lastModifiedBy>santizdulcemariana03@gmail.com</cp:lastModifiedBy>
  <cp:revision>2</cp:revision>
  <dcterms:created xsi:type="dcterms:W3CDTF">2024-12-06T17:54:00Z</dcterms:created>
  <dcterms:modified xsi:type="dcterms:W3CDTF">2024-12-06T17:54:00Z</dcterms:modified>
</cp:coreProperties>
</file>