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8F43" w14:textId="77777777" w:rsidR="00CC0378" w:rsidRDefault="00CC0378" w:rsidP="00CC0378">
      <w:pPr>
        <w:rPr>
          <w:rFonts w:ascii="Arial" w:hAnsi="Arial" w:cs="Arial"/>
          <w:sz w:val="56"/>
          <w:szCs w:val="56"/>
        </w:rPr>
      </w:pPr>
      <w:r>
        <w:rPr>
          <w:noProof/>
        </w:rPr>
        <w:drawing>
          <wp:anchor distT="0" distB="0" distL="114300" distR="114300" simplePos="0" relativeHeight="251659264" behindDoc="0" locked="0" layoutInCell="1" allowOverlap="1" wp14:anchorId="0DE8D121" wp14:editId="34CB812E">
            <wp:simplePos x="0" y="0"/>
            <wp:positionH relativeFrom="column">
              <wp:posOffset>-594360</wp:posOffset>
            </wp:positionH>
            <wp:positionV relativeFrom="paragraph">
              <wp:posOffset>0</wp:posOffset>
            </wp:positionV>
            <wp:extent cx="2543175" cy="946785"/>
            <wp:effectExtent l="0" t="0" r="9525" b="5715"/>
            <wp:wrapSquare wrapText="bothSides"/>
            <wp:docPr id="7853129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175" cy="946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ACB802A" wp14:editId="7C009835">
            <wp:simplePos x="0" y="0"/>
            <wp:positionH relativeFrom="column">
              <wp:posOffset>5326380</wp:posOffset>
            </wp:positionH>
            <wp:positionV relativeFrom="paragraph">
              <wp:posOffset>0</wp:posOffset>
            </wp:positionV>
            <wp:extent cx="1017270" cy="1239520"/>
            <wp:effectExtent l="0" t="0" r="0" b="0"/>
            <wp:wrapThrough wrapText="bothSides">
              <wp:wrapPolygon edited="0">
                <wp:start x="0" y="0"/>
                <wp:lineTo x="0" y="21246"/>
                <wp:lineTo x="21034" y="21246"/>
                <wp:lineTo x="21034" y="0"/>
                <wp:lineTo x="0" y="0"/>
              </wp:wrapPolygon>
            </wp:wrapThrough>
            <wp:docPr id="9508009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l="12498" t="3545" r="11073" b="7732"/>
                    <a:stretch>
                      <a:fillRect/>
                    </a:stretch>
                  </pic:blipFill>
                  <pic:spPr bwMode="auto">
                    <a:xfrm>
                      <a:off x="0" y="0"/>
                      <a:ext cx="1017270" cy="1239520"/>
                    </a:xfrm>
                    <a:prstGeom prst="rect">
                      <a:avLst/>
                    </a:prstGeom>
                    <a:noFill/>
                  </pic:spPr>
                </pic:pic>
              </a:graphicData>
            </a:graphic>
            <wp14:sizeRelH relativeFrom="margin">
              <wp14:pctWidth>0</wp14:pctWidth>
            </wp14:sizeRelH>
            <wp14:sizeRelV relativeFrom="margin">
              <wp14:pctHeight>0</wp14:pctHeight>
            </wp14:sizeRelV>
          </wp:anchor>
        </w:drawing>
      </w:r>
    </w:p>
    <w:p w14:paraId="58C5BA68" w14:textId="77777777" w:rsidR="00CC0378" w:rsidRDefault="00CC0378" w:rsidP="00CC0378">
      <w:pPr>
        <w:jc w:val="center"/>
        <w:rPr>
          <w:rFonts w:ascii="Arial" w:hAnsi="Arial" w:cs="Arial"/>
          <w:color w:val="000000" w:themeColor="text1"/>
          <w:sz w:val="56"/>
        </w:rPr>
      </w:pPr>
    </w:p>
    <w:p w14:paraId="348D030C" w14:textId="77777777" w:rsidR="00CC0378" w:rsidRDefault="00CC0378" w:rsidP="00CC0378">
      <w:pPr>
        <w:jc w:val="center"/>
        <w:rPr>
          <w:rFonts w:ascii="Arial" w:hAnsi="Arial" w:cs="Arial"/>
          <w:color w:val="000000" w:themeColor="text1"/>
          <w:sz w:val="56"/>
        </w:rPr>
      </w:pPr>
    </w:p>
    <w:p w14:paraId="20BA9FFB" w14:textId="77777777" w:rsidR="00CC0378" w:rsidRDefault="00CC0378" w:rsidP="00CC0378">
      <w:pPr>
        <w:jc w:val="center"/>
        <w:rPr>
          <w:rFonts w:ascii="Arial" w:hAnsi="Arial" w:cs="Arial"/>
          <w:color w:val="000000" w:themeColor="text1"/>
          <w:sz w:val="56"/>
        </w:rPr>
      </w:pPr>
    </w:p>
    <w:p w14:paraId="329811A3" w14:textId="77777777" w:rsidR="00CC0378" w:rsidRDefault="00CC0378" w:rsidP="00CC0378">
      <w:pPr>
        <w:jc w:val="center"/>
        <w:rPr>
          <w:rFonts w:ascii="Arial" w:hAnsi="Arial" w:cs="Arial"/>
          <w:b/>
          <w:color w:val="000000" w:themeColor="text1"/>
          <w:sz w:val="44"/>
          <w:szCs w:val="44"/>
        </w:rPr>
      </w:pPr>
      <w:r>
        <w:rPr>
          <w:noProof/>
        </w:rPr>
        <w:drawing>
          <wp:anchor distT="0" distB="0" distL="114300" distR="114300" simplePos="0" relativeHeight="251661312" behindDoc="1" locked="0" layoutInCell="1" allowOverlap="1" wp14:anchorId="3DDC1800" wp14:editId="3F917D75">
            <wp:simplePos x="0" y="0"/>
            <wp:positionH relativeFrom="margin">
              <wp:posOffset>-422910</wp:posOffset>
            </wp:positionH>
            <wp:positionV relativeFrom="paragraph">
              <wp:posOffset>481330</wp:posOffset>
            </wp:positionV>
            <wp:extent cx="5612130" cy="2101215"/>
            <wp:effectExtent l="0" t="0" r="7620" b="0"/>
            <wp:wrapNone/>
            <wp:docPr id="72522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1012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44"/>
          <w:szCs w:val="44"/>
        </w:rPr>
        <w:t>Universidad del sureste</w:t>
      </w:r>
    </w:p>
    <w:p w14:paraId="0EE96F90" w14:textId="77777777" w:rsidR="00CC0378" w:rsidRDefault="00CC0378" w:rsidP="00CC0378">
      <w:pPr>
        <w:jc w:val="center"/>
        <w:rPr>
          <w:rFonts w:ascii="Arial" w:hAnsi="Arial" w:cs="Arial"/>
          <w:b/>
          <w:color w:val="000000" w:themeColor="text1"/>
          <w:sz w:val="44"/>
          <w:szCs w:val="44"/>
        </w:rPr>
      </w:pPr>
      <w:r>
        <w:rPr>
          <w:rFonts w:ascii="Arial" w:hAnsi="Arial" w:cs="Arial"/>
          <w:b/>
          <w:color w:val="000000" w:themeColor="text1"/>
          <w:sz w:val="44"/>
          <w:szCs w:val="44"/>
        </w:rPr>
        <w:t>Campus Comitán</w:t>
      </w:r>
    </w:p>
    <w:p w14:paraId="2C699685" w14:textId="77777777" w:rsidR="00CC0378" w:rsidRDefault="00CC0378" w:rsidP="00CC0378">
      <w:pPr>
        <w:jc w:val="center"/>
        <w:rPr>
          <w:rFonts w:ascii="Arial" w:hAnsi="Arial" w:cs="Arial"/>
          <w:b/>
          <w:color w:val="000000" w:themeColor="text1"/>
          <w:sz w:val="44"/>
          <w:szCs w:val="44"/>
        </w:rPr>
      </w:pPr>
      <w:r>
        <w:rPr>
          <w:rFonts w:ascii="Arial" w:hAnsi="Arial" w:cs="Arial"/>
          <w:b/>
          <w:color w:val="000000" w:themeColor="text1"/>
          <w:sz w:val="44"/>
          <w:szCs w:val="44"/>
        </w:rPr>
        <w:t>Licenciatura en Medicina Humana</w:t>
      </w:r>
    </w:p>
    <w:p w14:paraId="69C0306D" w14:textId="77777777" w:rsidR="00CC0378" w:rsidRDefault="00CC0378" w:rsidP="00CC0378">
      <w:pPr>
        <w:spacing w:line="240" w:lineRule="auto"/>
        <w:jc w:val="center"/>
        <w:rPr>
          <w:rFonts w:ascii="Arial" w:hAnsi="Arial" w:cs="Arial"/>
          <w:b/>
          <w:color w:val="000000" w:themeColor="text1"/>
          <w:sz w:val="44"/>
          <w:szCs w:val="44"/>
        </w:rPr>
      </w:pPr>
    </w:p>
    <w:p w14:paraId="0D0EA3B6" w14:textId="7F3ECD9C" w:rsidR="00CC0378" w:rsidRDefault="00CC0378" w:rsidP="00CC0378">
      <w:pPr>
        <w:spacing w:before="240"/>
        <w:jc w:val="center"/>
        <w:rPr>
          <w:rFonts w:ascii="Arial" w:hAnsi="Arial" w:cs="Arial"/>
          <w:b/>
          <w:color w:val="000000" w:themeColor="text1"/>
          <w:sz w:val="44"/>
          <w:szCs w:val="44"/>
          <w:vertAlign w:val="superscript"/>
        </w:rPr>
      </w:pPr>
      <w:r>
        <w:rPr>
          <w:rFonts w:ascii="Arial" w:hAnsi="Arial" w:cs="Arial"/>
          <w:b/>
          <w:color w:val="000000" w:themeColor="text1"/>
          <w:sz w:val="44"/>
          <w:szCs w:val="44"/>
          <w:vertAlign w:val="superscript"/>
        </w:rPr>
        <w:t>‘’</w:t>
      </w:r>
      <w:r>
        <w:rPr>
          <w:rFonts w:ascii="Arial" w:hAnsi="Arial" w:cs="Arial"/>
          <w:b/>
          <w:color w:val="000000" w:themeColor="text1"/>
          <w:sz w:val="44"/>
          <w:szCs w:val="44"/>
        </w:rPr>
        <w:t>DIABETES TIPO 2</w:t>
      </w:r>
      <w:r>
        <w:rPr>
          <w:rFonts w:ascii="Arial" w:hAnsi="Arial" w:cs="Arial"/>
          <w:b/>
          <w:color w:val="000000" w:themeColor="text1"/>
          <w:sz w:val="44"/>
          <w:szCs w:val="44"/>
          <w:vertAlign w:val="superscript"/>
        </w:rPr>
        <w:t>’’</w:t>
      </w:r>
    </w:p>
    <w:p w14:paraId="05AB35FE" w14:textId="29861613" w:rsidR="00CC0378" w:rsidRPr="000F138B" w:rsidRDefault="00CC0378" w:rsidP="00CC0378">
      <w:pPr>
        <w:spacing w:before="240"/>
        <w:jc w:val="center"/>
        <w:rPr>
          <w:rFonts w:ascii="Arial" w:hAnsi="Arial" w:cs="Arial"/>
          <w:b/>
          <w:color w:val="000000" w:themeColor="text1"/>
          <w:sz w:val="44"/>
          <w:szCs w:val="44"/>
          <w:vertAlign w:val="superscript"/>
        </w:rPr>
      </w:pPr>
      <w:r>
        <w:rPr>
          <w:rFonts w:ascii="Arial" w:hAnsi="Arial" w:cs="Arial"/>
          <w:b/>
          <w:color w:val="000000" w:themeColor="text1"/>
          <w:sz w:val="44"/>
          <w:szCs w:val="44"/>
          <w:vertAlign w:val="superscript"/>
        </w:rPr>
        <w:t>CUADRO</w:t>
      </w:r>
    </w:p>
    <w:p w14:paraId="1442FF95" w14:textId="77777777" w:rsidR="00CC0378" w:rsidRDefault="00CC0378" w:rsidP="00CC0378">
      <w:pPr>
        <w:jc w:val="center"/>
        <w:rPr>
          <w:rFonts w:ascii="Arial" w:hAnsi="Arial" w:cs="Arial"/>
          <w:b/>
          <w:color w:val="000000" w:themeColor="text1"/>
          <w:sz w:val="44"/>
          <w:szCs w:val="44"/>
        </w:rPr>
      </w:pPr>
      <w:r>
        <w:rPr>
          <w:rFonts w:ascii="Arial" w:hAnsi="Arial" w:cs="Arial"/>
          <w:b/>
          <w:color w:val="000000" w:themeColor="text1"/>
          <w:sz w:val="44"/>
          <w:szCs w:val="44"/>
        </w:rPr>
        <w:t xml:space="preserve">IRMA NATALIA HERNÁNDEZ AGUILAR </w:t>
      </w:r>
    </w:p>
    <w:p w14:paraId="6953B458" w14:textId="77777777" w:rsidR="00CC0378" w:rsidRPr="000F138B" w:rsidRDefault="00CC0378" w:rsidP="00CC0378">
      <w:pPr>
        <w:spacing w:line="240" w:lineRule="auto"/>
        <w:jc w:val="center"/>
        <w:rPr>
          <w:rFonts w:asciiTheme="majorHAnsi" w:hAnsiTheme="majorHAnsi" w:cstheme="majorHAnsi"/>
          <w:b/>
          <w:color w:val="000000" w:themeColor="text1"/>
          <w:sz w:val="44"/>
          <w:szCs w:val="44"/>
        </w:rPr>
      </w:pPr>
      <w:r w:rsidRPr="000F138B">
        <w:rPr>
          <w:rFonts w:asciiTheme="majorHAnsi" w:hAnsiTheme="majorHAnsi" w:cstheme="majorHAnsi"/>
          <w:b/>
          <w:color w:val="000000" w:themeColor="text1"/>
          <w:sz w:val="44"/>
          <w:szCs w:val="44"/>
        </w:rPr>
        <w:t>Quinto semestre “B”</w:t>
      </w:r>
    </w:p>
    <w:p w14:paraId="4B3A7D2B" w14:textId="734C97C1" w:rsidR="00CC0378" w:rsidRDefault="00CC0378" w:rsidP="00CC0378">
      <w:pPr>
        <w:spacing w:line="240" w:lineRule="auto"/>
        <w:jc w:val="center"/>
        <w:rPr>
          <w:rFonts w:ascii="Arial" w:hAnsi="Arial" w:cs="Arial"/>
          <w:b/>
          <w:color w:val="000000" w:themeColor="text1"/>
          <w:sz w:val="44"/>
          <w:szCs w:val="44"/>
        </w:rPr>
      </w:pPr>
      <w:r>
        <w:rPr>
          <w:rFonts w:ascii="Arial" w:hAnsi="Arial" w:cs="Arial"/>
          <w:b/>
          <w:color w:val="000000" w:themeColor="text1"/>
          <w:sz w:val="44"/>
          <w:szCs w:val="44"/>
        </w:rPr>
        <w:t>MEDICINA INTERNA</w:t>
      </w:r>
    </w:p>
    <w:p w14:paraId="1DE0B55D" w14:textId="4FA38504" w:rsidR="00CC0378" w:rsidRPr="000F138B" w:rsidRDefault="00CC0378" w:rsidP="00CC0378">
      <w:pPr>
        <w:spacing w:line="240" w:lineRule="auto"/>
        <w:jc w:val="center"/>
        <w:rPr>
          <w:rFonts w:asciiTheme="majorHAnsi" w:hAnsiTheme="majorHAnsi" w:cstheme="majorHAnsi"/>
          <w:b/>
          <w:color w:val="000000" w:themeColor="text1"/>
          <w:sz w:val="44"/>
          <w:szCs w:val="44"/>
        </w:rPr>
      </w:pPr>
      <w:r w:rsidRPr="000F138B">
        <w:rPr>
          <w:rFonts w:asciiTheme="majorHAnsi" w:hAnsiTheme="majorHAnsi" w:cstheme="majorHAnsi"/>
          <w:b/>
          <w:color w:val="000000" w:themeColor="text1"/>
          <w:sz w:val="44"/>
          <w:szCs w:val="44"/>
        </w:rPr>
        <w:t xml:space="preserve">DR. </w:t>
      </w:r>
      <w:r>
        <w:rPr>
          <w:rFonts w:asciiTheme="majorHAnsi" w:hAnsiTheme="majorHAnsi" w:cstheme="majorHAnsi"/>
          <w:b/>
          <w:color w:val="000000" w:themeColor="text1"/>
          <w:sz w:val="44"/>
          <w:szCs w:val="44"/>
        </w:rPr>
        <w:t>Gerardo Cancino Gordillo</w:t>
      </w:r>
      <w:r w:rsidRPr="000F138B">
        <w:rPr>
          <w:rFonts w:asciiTheme="majorHAnsi" w:hAnsiTheme="majorHAnsi" w:cstheme="majorHAnsi"/>
          <w:b/>
          <w:color w:val="000000" w:themeColor="text1"/>
          <w:sz w:val="44"/>
          <w:szCs w:val="44"/>
        </w:rPr>
        <w:t xml:space="preserve"> </w:t>
      </w:r>
    </w:p>
    <w:p w14:paraId="509A62FD" w14:textId="77777777" w:rsidR="00CC0378" w:rsidRDefault="00CC0378" w:rsidP="00CC0378">
      <w:pPr>
        <w:spacing w:line="240" w:lineRule="auto"/>
        <w:jc w:val="center"/>
        <w:rPr>
          <w:rFonts w:ascii="Arial" w:hAnsi="Arial" w:cs="Arial"/>
          <w:b/>
          <w:color w:val="000000" w:themeColor="text1"/>
          <w:sz w:val="44"/>
          <w:szCs w:val="44"/>
        </w:rPr>
      </w:pPr>
    </w:p>
    <w:p w14:paraId="4DD45236" w14:textId="77777777" w:rsidR="00CC0378" w:rsidRDefault="00CC0378" w:rsidP="00CC0378">
      <w:pPr>
        <w:spacing w:line="240" w:lineRule="auto"/>
        <w:jc w:val="center"/>
        <w:rPr>
          <w:rFonts w:ascii="Arial" w:hAnsi="Arial" w:cs="Arial"/>
          <w:b/>
          <w:color w:val="000000" w:themeColor="text1"/>
          <w:sz w:val="44"/>
          <w:szCs w:val="44"/>
        </w:rPr>
      </w:pPr>
    </w:p>
    <w:p w14:paraId="6562B456" w14:textId="77777777" w:rsidR="00CC0378" w:rsidRDefault="00CC0378" w:rsidP="00CC0378">
      <w:pPr>
        <w:spacing w:line="240" w:lineRule="auto"/>
        <w:jc w:val="center"/>
        <w:rPr>
          <w:rFonts w:ascii="Arial" w:hAnsi="Arial" w:cs="Arial"/>
          <w:b/>
          <w:color w:val="000000" w:themeColor="text1"/>
          <w:sz w:val="44"/>
          <w:szCs w:val="44"/>
        </w:rPr>
      </w:pPr>
    </w:p>
    <w:p w14:paraId="16AD3577" w14:textId="79865AAB" w:rsidR="00CC0378" w:rsidRPr="000F138B" w:rsidRDefault="00CC0378" w:rsidP="00CC0378">
      <w:pPr>
        <w:rPr>
          <w:rFonts w:ascii="Bahnschrift Condensed" w:hAnsi="Bahnschrift Condensed" w:cs="Arial"/>
          <w:b/>
          <w:bCs/>
          <w:color w:val="000000" w:themeColor="text1"/>
          <w:sz w:val="24"/>
          <w:szCs w:val="24"/>
        </w:rPr>
        <w:sectPr w:rsidR="00CC0378" w:rsidRPr="000F138B">
          <w:footerReference w:type="default" r:id="rId8"/>
          <w:pgSz w:w="12240" w:h="15840"/>
          <w:pgMar w:top="1417" w:right="1701" w:bottom="1417" w:left="1701" w:header="720" w:footer="720" w:gutter="0"/>
          <w:cols w:space="720"/>
        </w:sectPr>
      </w:pPr>
      <w:r w:rsidRPr="000F138B">
        <w:rPr>
          <w:rFonts w:ascii="Bahnschrift Condensed" w:hAnsi="Bahnschrift Condensed" w:cs="Arial"/>
          <w:b/>
          <w:bCs/>
          <w:color w:val="000000" w:themeColor="text1"/>
          <w:sz w:val="44"/>
          <w:szCs w:val="44"/>
        </w:rPr>
        <w:t xml:space="preserve"> </w:t>
      </w:r>
      <w:r w:rsidRPr="000F138B">
        <w:rPr>
          <w:rFonts w:ascii="Bahnschrift Condensed" w:hAnsi="Bahnschrift Condensed" w:cs="Arial"/>
          <w:b/>
          <w:bCs/>
          <w:color w:val="000000" w:themeColor="text1"/>
          <w:sz w:val="24"/>
          <w:szCs w:val="24"/>
        </w:rPr>
        <w:t xml:space="preserve">Comitán de Domínguez Chiapas a </w:t>
      </w:r>
      <w:r>
        <w:rPr>
          <w:rFonts w:ascii="Bahnschrift Condensed" w:hAnsi="Bahnschrift Condensed" w:cs="Arial"/>
          <w:b/>
          <w:bCs/>
          <w:color w:val="000000" w:themeColor="text1"/>
          <w:sz w:val="24"/>
          <w:szCs w:val="24"/>
        </w:rPr>
        <w:t>20</w:t>
      </w:r>
      <w:r w:rsidRPr="000F138B">
        <w:rPr>
          <w:rFonts w:ascii="Bahnschrift Condensed" w:hAnsi="Bahnschrift Condensed" w:cs="Arial"/>
          <w:b/>
          <w:bCs/>
          <w:color w:val="000000" w:themeColor="text1"/>
          <w:sz w:val="24"/>
          <w:szCs w:val="24"/>
        </w:rPr>
        <w:t xml:space="preserve"> de </w:t>
      </w:r>
      <w:r>
        <w:rPr>
          <w:rFonts w:ascii="Bahnschrift Condensed" w:hAnsi="Bahnschrift Condensed" w:cs="Arial"/>
          <w:b/>
          <w:bCs/>
          <w:color w:val="000000" w:themeColor="text1"/>
          <w:sz w:val="24"/>
          <w:szCs w:val="24"/>
        </w:rPr>
        <w:t>noviembre</w:t>
      </w:r>
      <w:r w:rsidRPr="000F138B">
        <w:rPr>
          <w:rFonts w:ascii="Bahnschrift Condensed" w:hAnsi="Bahnschrift Condensed" w:cs="Arial"/>
          <w:b/>
          <w:bCs/>
          <w:color w:val="000000" w:themeColor="text1"/>
          <w:sz w:val="24"/>
          <w:szCs w:val="24"/>
        </w:rPr>
        <w:t xml:space="preserve"> de 202</w:t>
      </w:r>
      <w:r>
        <w:rPr>
          <w:rFonts w:ascii="Bahnschrift Condensed" w:hAnsi="Bahnschrift Condensed" w:cs="Arial"/>
          <w:b/>
          <w:bCs/>
          <w:color w:val="000000" w:themeColor="text1"/>
          <w:sz w:val="24"/>
          <w:szCs w:val="24"/>
        </w:rPr>
        <w:t>3</w:t>
      </w:r>
    </w:p>
    <w:p w14:paraId="696B7731" w14:textId="74A7A505" w:rsidR="00CC0378" w:rsidRDefault="00CC0378">
      <w:pPr>
        <w:rPr>
          <w:rFonts w:ascii="Castellar" w:hAnsi="Castellar"/>
          <w:sz w:val="72"/>
          <w:szCs w:val="72"/>
        </w:rPr>
      </w:pPr>
    </w:p>
    <w:p w14:paraId="3F8954E1" w14:textId="377D9FE2" w:rsidR="00FC572E" w:rsidRPr="004E4681" w:rsidRDefault="004E4681" w:rsidP="00CC0378">
      <w:pPr>
        <w:jc w:val="center"/>
        <w:rPr>
          <w:rFonts w:ascii="Castellar" w:hAnsi="Castellar"/>
          <w:sz w:val="72"/>
          <w:szCs w:val="72"/>
        </w:rPr>
      </w:pPr>
      <w:r w:rsidRPr="007B2AA3">
        <w:rPr>
          <w:rFonts w:ascii="Castellar" w:hAnsi="Castellar"/>
          <w:color w:val="7030A0"/>
          <w:sz w:val="72"/>
          <w:szCs w:val="72"/>
        </w:rPr>
        <w:t>DIABETES TIPO 2</w:t>
      </w:r>
    </w:p>
    <w:tbl>
      <w:tblPr>
        <w:tblStyle w:val="Tablaconcuadrcula"/>
        <w:tblW w:w="18389" w:type="dxa"/>
        <w:tblInd w:w="-289" w:type="dxa"/>
        <w:tblLook w:val="04A0" w:firstRow="1" w:lastRow="0" w:firstColumn="1" w:lastColumn="0" w:noHBand="0" w:noVBand="1"/>
      </w:tblPr>
      <w:tblGrid>
        <w:gridCol w:w="1560"/>
        <w:gridCol w:w="2268"/>
        <w:gridCol w:w="2552"/>
        <w:gridCol w:w="5244"/>
        <w:gridCol w:w="6765"/>
      </w:tblGrid>
      <w:tr w:rsidR="004E4681" w14:paraId="478DD410" w14:textId="77777777" w:rsidTr="00F505AC">
        <w:tc>
          <w:tcPr>
            <w:tcW w:w="1560" w:type="dxa"/>
          </w:tcPr>
          <w:p w14:paraId="15F92B09" w14:textId="50BE14D0" w:rsidR="004E4681" w:rsidRPr="00F505AC" w:rsidRDefault="004E4681">
            <w:pPr>
              <w:rPr>
                <w:rFonts w:ascii="Algerian" w:hAnsi="Algerian"/>
              </w:rPr>
            </w:pPr>
            <w:r w:rsidRPr="00F505AC">
              <w:rPr>
                <w:rFonts w:ascii="Algerian" w:hAnsi="Algerian"/>
                <w:color w:val="C5E0B3" w:themeColor="accent6" w:themeTint="66"/>
              </w:rPr>
              <w:t>CUADRO CLÍNICO</w:t>
            </w:r>
          </w:p>
        </w:tc>
        <w:tc>
          <w:tcPr>
            <w:tcW w:w="2268" w:type="dxa"/>
          </w:tcPr>
          <w:p w14:paraId="063D609A" w14:textId="06D4C6BE" w:rsidR="004E4681" w:rsidRPr="00F505AC" w:rsidRDefault="004E4681">
            <w:pPr>
              <w:rPr>
                <w:rFonts w:ascii="Algerian" w:hAnsi="Algerian"/>
              </w:rPr>
            </w:pPr>
            <w:r w:rsidRPr="00F505AC">
              <w:rPr>
                <w:rFonts w:ascii="Algerian" w:hAnsi="Algerian"/>
                <w:color w:val="FFD966" w:themeColor="accent4" w:themeTint="99"/>
              </w:rPr>
              <w:t>SÍNTOMAS INESPECÍFICOS</w:t>
            </w:r>
          </w:p>
        </w:tc>
        <w:tc>
          <w:tcPr>
            <w:tcW w:w="2552" w:type="dxa"/>
          </w:tcPr>
          <w:p w14:paraId="12F4BF9B" w14:textId="576CDBE9" w:rsidR="004E4681" w:rsidRPr="00F505AC" w:rsidRDefault="004E4681">
            <w:pPr>
              <w:rPr>
                <w:rFonts w:ascii="Algerian" w:hAnsi="Algerian"/>
                <w:color w:val="9B54A0"/>
              </w:rPr>
            </w:pPr>
            <w:r w:rsidRPr="00F505AC">
              <w:rPr>
                <w:rFonts w:ascii="Algerian" w:hAnsi="Algerian"/>
                <w:color w:val="A8D08D" w:themeColor="accent6" w:themeTint="99"/>
              </w:rPr>
              <w:t>PRUEBAS DIAGNÓSTICAS</w:t>
            </w:r>
          </w:p>
        </w:tc>
        <w:tc>
          <w:tcPr>
            <w:tcW w:w="5244" w:type="dxa"/>
          </w:tcPr>
          <w:p w14:paraId="52674DC9" w14:textId="44DDCCB8" w:rsidR="004E4681" w:rsidRPr="00F505AC" w:rsidRDefault="004E4681">
            <w:pPr>
              <w:rPr>
                <w:rFonts w:ascii="Algerian" w:hAnsi="Algerian"/>
              </w:rPr>
            </w:pPr>
            <w:r w:rsidRPr="00F505AC">
              <w:rPr>
                <w:rFonts w:ascii="Algerian" w:hAnsi="Algerian"/>
                <w:color w:val="ACB9CA" w:themeColor="text2" w:themeTint="66"/>
              </w:rPr>
              <w:t>COMPLICACIONES</w:t>
            </w:r>
          </w:p>
        </w:tc>
        <w:tc>
          <w:tcPr>
            <w:tcW w:w="6765" w:type="dxa"/>
            <w:tcBorders>
              <w:right w:val="nil"/>
            </w:tcBorders>
          </w:tcPr>
          <w:p w14:paraId="602005DD" w14:textId="4CA56DEE" w:rsidR="004E4681" w:rsidRPr="00F505AC" w:rsidRDefault="004E4681" w:rsidP="00D9667E">
            <w:pPr>
              <w:rPr>
                <w:rFonts w:ascii="Algerian" w:hAnsi="Algerian"/>
              </w:rPr>
            </w:pPr>
            <w:r w:rsidRPr="00F505AC">
              <w:rPr>
                <w:rFonts w:ascii="Algerian" w:hAnsi="Algerian"/>
                <w:color w:val="F7CAAC" w:themeColor="accent2" w:themeTint="66"/>
              </w:rPr>
              <w:t xml:space="preserve">TRATAMIENTO </w:t>
            </w:r>
          </w:p>
        </w:tc>
      </w:tr>
      <w:tr w:rsidR="004E4681" w14:paraId="5964CFF8" w14:textId="77777777" w:rsidTr="00F505AC">
        <w:tc>
          <w:tcPr>
            <w:tcW w:w="1560" w:type="dxa"/>
          </w:tcPr>
          <w:p w14:paraId="3A881B42" w14:textId="6BC2E047" w:rsidR="00CC0378" w:rsidRPr="00CC0378" w:rsidRDefault="00CC0378">
            <w:pPr>
              <w:rPr>
                <w:color w:val="A8D08D" w:themeColor="accent6" w:themeTint="99"/>
              </w:rPr>
            </w:pPr>
            <w:r w:rsidRPr="00CC0378">
              <w:rPr>
                <w:color w:val="A8D08D" w:themeColor="accent6" w:themeTint="99"/>
              </w:rPr>
              <w:t>4 P:</w:t>
            </w:r>
          </w:p>
          <w:p w14:paraId="37A4AE3C" w14:textId="62B0FA88" w:rsidR="004E4681" w:rsidRDefault="004E4681">
            <w:r>
              <w:t xml:space="preserve">Polidipsia </w:t>
            </w:r>
          </w:p>
          <w:p w14:paraId="4556C82F" w14:textId="77777777" w:rsidR="004E4681" w:rsidRDefault="004E4681">
            <w:r>
              <w:t xml:space="preserve">Polifagia </w:t>
            </w:r>
          </w:p>
          <w:p w14:paraId="1D4F5E3D" w14:textId="77777777" w:rsidR="004E4681" w:rsidRDefault="004E4681">
            <w:r>
              <w:t xml:space="preserve">Pérdida de peso </w:t>
            </w:r>
          </w:p>
          <w:p w14:paraId="6EDA5AB1" w14:textId="77777777" w:rsidR="004E4681" w:rsidRDefault="004E4681">
            <w:r>
              <w:t xml:space="preserve">Poliuria </w:t>
            </w:r>
          </w:p>
          <w:p w14:paraId="6875B4A8" w14:textId="77777777" w:rsidR="00CC0378" w:rsidRDefault="00CC0378">
            <w:r>
              <w:t xml:space="preserve">Otros </w:t>
            </w:r>
          </w:p>
          <w:p w14:paraId="108B1D51" w14:textId="549318E9" w:rsidR="00CC0378" w:rsidRDefault="00CC0378">
            <w:r>
              <w:rPr>
                <w:color w:val="A8D08D" w:themeColor="accent6" w:themeTint="99"/>
              </w:rPr>
              <w:t>Sí</w:t>
            </w:r>
            <w:r w:rsidRPr="00CC0378">
              <w:rPr>
                <w:color w:val="A8D08D" w:themeColor="accent6" w:themeTint="99"/>
              </w:rPr>
              <w:t>ntomas característicos:</w:t>
            </w:r>
          </w:p>
          <w:p w14:paraId="3A707C8B" w14:textId="77777777" w:rsidR="004E4681" w:rsidRDefault="004E4681">
            <w:r>
              <w:t xml:space="preserve">Albicans nigricans </w:t>
            </w:r>
          </w:p>
          <w:p w14:paraId="270D4F6B" w14:textId="49D639B4" w:rsidR="004E4681" w:rsidRDefault="004E4681">
            <w:r>
              <w:t>Fatiga</w:t>
            </w:r>
          </w:p>
        </w:tc>
        <w:tc>
          <w:tcPr>
            <w:tcW w:w="2268" w:type="dxa"/>
          </w:tcPr>
          <w:p w14:paraId="2ADC364A" w14:textId="36F03C88" w:rsidR="004E4681" w:rsidRDefault="004E4681" w:rsidP="004E4681">
            <w:r>
              <w:t xml:space="preserve">• Fatiga o somnolencia. </w:t>
            </w:r>
          </w:p>
          <w:p w14:paraId="10DCE735" w14:textId="77777777" w:rsidR="004E4681" w:rsidRDefault="004E4681">
            <w:r>
              <w:t xml:space="preserve">• Letargia. </w:t>
            </w:r>
          </w:p>
          <w:p w14:paraId="26EA182A" w14:textId="7DADD54D" w:rsidR="004E4681" w:rsidRDefault="004E4681">
            <w:r>
              <w:t xml:space="preserve">• Deterioro cognoscitivo. </w:t>
            </w:r>
          </w:p>
          <w:p w14:paraId="2FEE3FBE" w14:textId="77777777" w:rsidR="004E4681" w:rsidRDefault="004E4681">
            <w:r>
              <w:t xml:space="preserve">• Pérdida de peso. </w:t>
            </w:r>
          </w:p>
          <w:p w14:paraId="22BB7349" w14:textId="77777777" w:rsidR="004E4681" w:rsidRDefault="004E4681">
            <w:r>
              <w:t xml:space="preserve">• Incontinencia urinaria. </w:t>
            </w:r>
          </w:p>
          <w:p w14:paraId="705C4D44" w14:textId="77777777" w:rsidR="004E4681" w:rsidRDefault="004E4681">
            <w:r>
              <w:t xml:space="preserve">• Pérdidas del plano de sustentación. </w:t>
            </w:r>
          </w:p>
          <w:p w14:paraId="2FF16A5D" w14:textId="77777777" w:rsidR="004E4681" w:rsidRDefault="004E4681">
            <w:r>
              <w:t xml:space="preserve">• Síntomas genitourinarios. </w:t>
            </w:r>
          </w:p>
          <w:p w14:paraId="1A44081A" w14:textId="200D0E7C" w:rsidR="004E4681" w:rsidRDefault="004E4681">
            <w:r>
              <w:t>• Alteraciones del estado conciencia.</w:t>
            </w:r>
          </w:p>
        </w:tc>
        <w:tc>
          <w:tcPr>
            <w:tcW w:w="2552" w:type="dxa"/>
          </w:tcPr>
          <w:p w14:paraId="60900CCF" w14:textId="77777777" w:rsidR="004E4681" w:rsidRDefault="004E4681">
            <w:r>
              <w:t xml:space="preserve">Clínica: por los signos y síntomas que presenta el paciente </w:t>
            </w:r>
          </w:p>
          <w:p w14:paraId="1C6F5066" w14:textId="77777777" w:rsidR="004E4681" w:rsidRDefault="004E4681"/>
          <w:p w14:paraId="5E6D1EB0" w14:textId="11484442" w:rsidR="004E4681" w:rsidRDefault="004E4681">
            <w:r>
              <w:t xml:space="preserve">Pruebas de laboratorio: </w:t>
            </w:r>
          </w:p>
          <w:p w14:paraId="626D6789" w14:textId="77777777" w:rsidR="004E4681" w:rsidRDefault="004E4681">
            <w:r>
              <w:t xml:space="preserve">A1C: 6.5% (48mmol/mol) </w:t>
            </w:r>
          </w:p>
          <w:p w14:paraId="55B173C2" w14:textId="77777777" w:rsidR="004E4681" w:rsidRDefault="004E4681">
            <w:r>
              <w:t xml:space="preserve">FPG: 126 mg/dL(7,0 mmol/l) </w:t>
            </w:r>
          </w:p>
          <w:p w14:paraId="4B760680" w14:textId="77777777" w:rsidR="004E4681" w:rsidRDefault="004E4681">
            <w:r>
              <w:t xml:space="preserve">Glucemia dos horas después de sobrecarga 75 gr: 200 mg/dL (11.1 mmol/l) </w:t>
            </w:r>
          </w:p>
          <w:p w14:paraId="44AC7B09" w14:textId="13B2BFD5" w:rsidR="004E4681" w:rsidRDefault="004E4681">
            <w:r>
              <w:t>Glucemia al azar: 200 mg/dL(11.1 mmol/l)</w:t>
            </w:r>
          </w:p>
        </w:tc>
        <w:tc>
          <w:tcPr>
            <w:tcW w:w="5244" w:type="dxa"/>
          </w:tcPr>
          <w:p w14:paraId="3A853CD4" w14:textId="77777777" w:rsidR="004E4681" w:rsidRPr="00F505AC" w:rsidRDefault="004E4681">
            <w:pPr>
              <w:rPr>
                <w:color w:val="8EAADB" w:themeColor="accent1" w:themeTint="99"/>
              </w:rPr>
            </w:pPr>
            <w:r w:rsidRPr="00F505AC">
              <w:rPr>
                <w:color w:val="8EAADB" w:themeColor="accent1" w:themeTint="99"/>
              </w:rPr>
              <w:t xml:space="preserve">Corazón y los vasos sanguíneos </w:t>
            </w:r>
          </w:p>
          <w:p w14:paraId="2C0A38E4" w14:textId="1F354272" w:rsidR="004E4681" w:rsidRDefault="004E4681">
            <w:r>
              <w:t>Ateroesclerosis: parestesias y debilidad de brazos o piernas, dificultad para hablar o balbuceo, perdida de la visión</w:t>
            </w:r>
            <w:r>
              <w:t>.</w:t>
            </w:r>
            <w:r>
              <w:t xml:space="preserve"> </w:t>
            </w:r>
          </w:p>
          <w:p w14:paraId="7274C867" w14:textId="77777777" w:rsidR="004E4681" w:rsidRDefault="004E4681">
            <w:r>
              <w:t xml:space="preserve">Accidente cerebrovascular: confusión, debilidad o parálisis en la cara, el brazo o la pierna, visión borrosa o ennegrecida en uno o ambos ojos, diplopía, mareos, pérdida del equilibrio. </w:t>
            </w:r>
          </w:p>
          <w:p w14:paraId="7627504D" w14:textId="77777777" w:rsidR="004E4681" w:rsidRDefault="004E4681">
            <w:r>
              <w:t xml:space="preserve">Enfermedad arterial periférica: claudicación o disminución de la presión arterial en una extremidad afectada. </w:t>
            </w:r>
          </w:p>
          <w:p w14:paraId="125922D2" w14:textId="77777777" w:rsidR="004E4681" w:rsidRPr="00F505AC" w:rsidRDefault="004E4681">
            <w:pPr>
              <w:rPr>
                <w:color w:val="8EAADB" w:themeColor="accent1" w:themeTint="99"/>
              </w:rPr>
            </w:pPr>
            <w:r w:rsidRPr="00F505AC">
              <w:rPr>
                <w:color w:val="8EAADB" w:themeColor="accent1" w:themeTint="99"/>
              </w:rPr>
              <w:t xml:space="preserve">Sistema nervioso </w:t>
            </w:r>
          </w:p>
          <w:p w14:paraId="1C09A940" w14:textId="77777777" w:rsidR="004E4681" w:rsidRDefault="004E4681">
            <w:r>
              <w:t xml:space="preserve">Neuropatía diabética: parestesias en los dedos de las manos, las manos, los pies y los dedos de los pies, así como hormigueo, sensación de quemazón o dolores punzantes que normalmente comienzan en los dedos de las extremidades y se extienden hacia arriba, vomito, diarrea, estreñimiento, alteraciones de la función sexual y mareos. </w:t>
            </w:r>
          </w:p>
          <w:p w14:paraId="7E3C285E" w14:textId="77777777" w:rsidR="004E4681" w:rsidRPr="00F505AC" w:rsidRDefault="004E4681">
            <w:pPr>
              <w:rPr>
                <w:color w:val="8EAADB" w:themeColor="accent1" w:themeTint="99"/>
              </w:rPr>
            </w:pPr>
            <w:r w:rsidRPr="00F505AC">
              <w:rPr>
                <w:color w:val="8EAADB" w:themeColor="accent1" w:themeTint="99"/>
              </w:rPr>
              <w:t xml:space="preserve">Gastrointestinales </w:t>
            </w:r>
          </w:p>
          <w:p w14:paraId="5965C417" w14:textId="77777777" w:rsidR="004E4681" w:rsidRDefault="004E4681">
            <w:r>
              <w:t xml:space="preserve">Gastroparesia: Vómitos, náuseas, hinchazón abdominal, dolor abdominal, sensación de saciedad luego de haber comido solamente unos bocados, vómito de alimentos no digeridos consumidos unas horas antes, reflujo ácido, cambios en el nivel de glucosa en la sangre, falta de apetito, pérdida de peso y desnutrición. </w:t>
            </w:r>
          </w:p>
          <w:p w14:paraId="6DF640E3" w14:textId="77777777" w:rsidR="004E4681" w:rsidRDefault="004E4681">
            <w:r>
              <w:t xml:space="preserve">Diarrea crónica, disfagia, esofagitis por reflujo, esofagitis candidiásica. </w:t>
            </w:r>
          </w:p>
          <w:p w14:paraId="5962862E" w14:textId="77777777" w:rsidR="004E4681" w:rsidRDefault="004E4681">
            <w:r>
              <w:lastRenderedPageBreak/>
              <w:t xml:space="preserve">Colelitiasis: Fiebre, dolor en el cuadrante superior derecho (localizado en el hígado y besícula biliar), ictericia, náuseas y vómitos </w:t>
            </w:r>
          </w:p>
          <w:p w14:paraId="46943A55" w14:textId="77777777" w:rsidR="004E4681" w:rsidRDefault="004E4681">
            <w:r>
              <w:t xml:space="preserve">Colecistitis: Dolores intensos en la zona superior derecha o central del abdomen, dolor que se extiende al hombro derecho o a la espalda, sensibilidad en el abdomen cuando lo tocas, náuseas, vómitos, fiebre </w:t>
            </w:r>
          </w:p>
          <w:p w14:paraId="5E645298" w14:textId="77777777" w:rsidR="004E4681" w:rsidRDefault="004E4681">
            <w:r>
              <w:t xml:space="preserve">Insuficiencia pancreática: gases y/o distensión abdominal, dolor abdominal, pinchazos o calambres, pérdida de peso y fatiga, diarreas frecuentes y esteatorrea </w:t>
            </w:r>
          </w:p>
          <w:p w14:paraId="1C6B8DAB" w14:textId="3980C6E3" w:rsidR="004E4681" w:rsidRDefault="004E4681">
            <w:r>
              <w:t>Cáncer pancreático: ictericia, pérdida de peso inexplicable y falta de apetito., dolor de abdomen o de espalda, que puede</w:t>
            </w:r>
            <w:r>
              <w:t xml:space="preserve"> </w:t>
            </w:r>
            <w:r>
              <w:t xml:space="preserve">irradiarse hacia el pecho o los hombros, náuseas y vómitos, agrandamiento de la vesícula biliar o del hígado, coágulos sanguíneos. </w:t>
            </w:r>
          </w:p>
          <w:p w14:paraId="22D40D1E" w14:textId="5EF2C552" w:rsidR="004E4681" w:rsidRDefault="004E4681">
            <w:r>
              <w:t>Estreñimiento: defecar menos de 3 veces por semana, heces grumosas o duras, hacer esfuerzo para defecar, obstrucción en el recto, sentir como si no pudieras vaciar completamente el recto, necesitar ayuda para vaciar el recto</w:t>
            </w:r>
            <w:r>
              <w:t>.</w:t>
            </w:r>
          </w:p>
          <w:p w14:paraId="7A9BB47E" w14:textId="77777777" w:rsidR="00F505AC" w:rsidRPr="00F505AC" w:rsidRDefault="004E4681">
            <w:pPr>
              <w:rPr>
                <w:color w:val="8EAADB" w:themeColor="accent1" w:themeTint="99"/>
              </w:rPr>
            </w:pPr>
            <w:r w:rsidRPr="00F505AC">
              <w:rPr>
                <w:color w:val="8EAADB" w:themeColor="accent1" w:themeTint="99"/>
              </w:rPr>
              <w:t xml:space="preserve">Renal </w:t>
            </w:r>
          </w:p>
          <w:p w14:paraId="71A2003C" w14:textId="693ED999" w:rsidR="004E4681" w:rsidRDefault="004E4681">
            <w:r>
              <w:t>Nefropatía diabética: Empeoramiento del control de la presión arterial, proteinuria, edema, aumento de la necesidad de orinar, confusión</w:t>
            </w:r>
            <w:r w:rsidR="00F505AC">
              <w:t xml:space="preserve">, </w:t>
            </w:r>
            <w:r>
              <w:t>disnea, pérdida de apetito, náuseas y vómitos, picazón constante, fatiga</w:t>
            </w:r>
            <w:r>
              <w:t>.</w:t>
            </w:r>
          </w:p>
          <w:p w14:paraId="03F68588" w14:textId="77777777" w:rsidR="004E4681" w:rsidRDefault="004E4681">
            <w:r>
              <w:t xml:space="preserve">Síndrome nefrótico: edema, proteinuria, aumento de peso, fatiga, pérdida del apetito Ocular </w:t>
            </w:r>
          </w:p>
          <w:p w14:paraId="6096BDB2" w14:textId="4E3A8E9B" w:rsidR="004E4681" w:rsidRDefault="004E4681">
            <w:r>
              <w:t>Retinopatía diabética: manchas o hebras oscuras que flotan en la vista (cuerpos flotantes), visión borrosa, visión variable</w:t>
            </w:r>
            <w:r>
              <w:t>.</w:t>
            </w:r>
          </w:p>
          <w:p w14:paraId="7ACFE7AF" w14:textId="77777777" w:rsidR="004E4681" w:rsidRDefault="004E4681">
            <w:r>
              <w:t xml:space="preserve">Edema macular: se presenta inflamación y acumulación de líquido en la mácula, lo cual puede llevar a pérdida parcial de la vista o ceguera. </w:t>
            </w:r>
          </w:p>
          <w:p w14:paraId="0949B5DD" w14:textId="1D986906" w:rsidR="004E4681" w:rsidRDefault="004E4681">
            <w:r>
              <w:t xml:space="preserve">Glaucoma: Visión borrosa u ondulada, cambios frecuentes en la visión, áreas oscuras o pérdida de la visión, visión deficiente de los colores, manchas negras o filamentos oscuros, destellos de luz. Cataratas: Visión </w:t>
            </w:r>
            <w:r>
              <w:lastRenderedPageBreak/>
              <w:t>nublada, borrosa o tenue, necesidad de una luz más brillante para leer y para otras actividades, ver halos alrededor de las luces</w:t>
            </w:r>
            <w:r w:rsidR="00F505AC">
              <w:t>.</w:t>
            </w:r>
          </w:p>
          <w:p w14:paraId="05EDF031" w14:textId="77777777" w:rsidR="004E4681" w:rsidRPr="00F505AC" w:rsidRDefault="004E4681">
            <w:pPr>
              <w:rPr>
                <w:color w:val="8EAADB" w:themeColor="accent1" w:themeTint="99"/>
              </w:rPr>
            </w:pPr>
            <w:r w:rsidRPr="00F505AC">
              <w:rPr>
                <w:color w:val="8EAADB" w:themeColor="accent1" w:themeTint="99"/>
              </w:rPr>
              <w:t xml:space="preserve">Daño en el pie </w:t>
            </w:r>
          </w:p>
          <w:p w14:paraId="4CE06604" w14:textId="77777777" w:rsidR="004E4681" w:rsidRDefault="004E4681">
            <w:r>
              <w:t xml:space="preserve">Pie diabético: hipoestesias, calambres que empeoran por la noche, parestesias y dolor, atrofia muscular, aparición de úlceras y heridas, deformidades en el pie por culpa de la pérdida de control muscular que también favorece los roces y sus complicaciones. </w:t>
            </w:r>
          </w:p>
          <w:p w14:paraId="1123198F" w14:textId="77777777" w:rsidR="004E4681" w:rsidRDefault="004E4681">
            <w:r>
              <w:t xml:space="preserve">Infecciones </w:t>
            </w:r>
          </w:p>
          <w:p w14:paraId="2CF7D828" w14:textId="77777777" w:rsidR="004E4681" w:rsidRDefault="004E4681">
            <w:r w:rsidRPr="00F505AC">
              <w:rPr>
                <w:color w:val="8EAADB" w:themeColor="accent1" w:themeTint="99"/>
              </w:rPr>
              <w:t>Vías urinarias</w:t>
            </w:r>
            <w:r>
              <w:t xml:space="preserve">: </w:t>
            </w:r>
            <w:r w:rsidRPr="00F505AC">
              <w:rPr>
                <w:color w:val="8EAADB" w:themeColor="accent1" w:themeTint="99"/>
              </w:rPr>
              <w:t>riñón</w:t>
            </w:r>
            <w:r>
              <w:t>: Dolor de espalda o en el costado, fiebre alta, temblores y escalofríos, náuseas, vómitos</w:t>
            </w:r>
            <w:r>
              <w:t>.</w:t>
            </w:r>
          </w:p>
          <w:p w14:paraId="7C6469CD" w14:textId="77777777" w:rsidR="004E4681" w:rsidRDefault="004E4681">
            <w:r>
              <w:t>Vejiga: Presión en la pelvis, molestias en la parte inferior del vientre, micciones frecuentes y dolorosas, hematuria</w:t>
            </w:r>
            <w:r>
              <w:t>.</w:t>
            </w:r>
          </w:p>
          <w:p w14:paraId="1B6BFF52" w14:textId="77777777" w:rsidR="004E4681" w:rsidRDefault="004E4681">
            <w:r w:rsidRPr="00F505AC">
              <w:rPr>
                <w:color w:val="8EAADB" w:themeColor="accent1" w:themeTint="99"/>
              </w:rPr>
              <w:t>Uretra</w:t>
            </w:r>
            <w:r>
              <w:t xml:space="preserve">: Sensación de ardor al orinar, secreciones. </w:t>
            </w:r>
          </w:p>
          <w:p w14:paraId="78F73CA2" w14:textId="64CBE441" w:rsidR="004E4681" w:rsidRDefault="004E4681">
            <w:r>
              <w:t>Candidiasis: Picazón e irritación de la vagina y la vulv</w:t>
            </w:r>
            <w:r>
              <w:t>a, s</w:t>
            </w:r>
            <w:r>
              <w:t>ensación de ardor, especialmente durante las relaciones sexuales o al orinar, enrojecimiento o inflamación de la vulv</w:t>
            </w:r>
            <w:r w:rsidR="00F505AC">
              <w:t>a</w:t>
            </w:r>
            <w:r>
              <w:t xml:space="preserve">, sarpullido vaginal, secreción vaginal espesa, blanca y sin olor, con aspecto similar a queso cottage, secreción vaginal acuosa </w:t>
            </w:r>
          </w:p>
          <w:p w14:paraId="27F8E6D5" w14:textId="0D7913BF" w:rsidR="004E4681" w:rsidRDefault="004E4681">
            <w:r>
              <w:t>Osteoporosis: dolor de espalda, provocado por una vértebra fracturada o aplastada, pérdida de estatura con el tiempo, una postura encorvada, un hueso que se rompe mucho más fácilmente de lo esperad</w:t>
            </w:r>
            <w:r>
              <w:t xml:space="preserve">o. </w:t>
            </w:r>
          </w:p>
        </w:tc>
        <w:tc>
          <w:tcPr>
            <w:tcW w:w="6765" w:type="dxa"/>
            <w:tcBorders>
              <w:right w:val="nil"/>
            </w:tcBorders>
          </w:tcPr>
          <w:p w14:paraId="62471220" w14:textId="77777777" w:rsidR="004E4681" w:rsidRDefault="00D9667E" w:rsidP="0078687B">
            <w:r>
              <w:lastRenderedPageBreak/>
              <w:t>NO Farmacológicas:</w:t>
            </w:r>
          </w:p>
          <w:p w14:paraId="491EDECA" w14:textId="77777777" w:rsidR="0078687B" w:rsidRDefault="00D9667E" w:rsidP="0078687B">
            <w:r>
              <w:t xml:space="preserve">Cambios en el estilo de vida </w:t>
            </w:r>
          </w:p>
          <w:p w14:paraId="33820424" w14:textId="77777777" w:rsidR="0078687B" w:rsidRDefault="00D9667E" w:rsidP="0078687B">
            <w:r>
              <w:t xml:space="preserve">(dieta saludable y balanceada como </w:t>
            </w:r>
          </w:p>
          <w:p w14:paraId="07DBE72E" w14:textId="77777777" w:rsidR="00D9667E" w:rsidRDefault="00D9667E" w:rsidP="0078687B">
            <w:r>
              <w:t>la dieta Dash;</w:t>
            </w:r>
            <w:r w:rsidR="0078687B">
              <w:t xml:space="preserve"> ejercicio moderado; </w:t>
            </w:r>
          </w:p>
          <w:p w14:paraId="3534871F" w14:textId="77777777" w:rsidR="0078687B" w:rsidRDefault="0078687B" w:rsidP="0078687B">
            <w:r>
              <w:t>ingesta moderada de agua; etc)</w:t>
            </w:r>
          </w:p>
          <w:p w14:paraId="30365199" w14:textId="77777777" w:rsidR="007B2AA3" w:rsidRDefault="007B2AA3" w:rsidP="0078687B">
            <w:r>
              <w:t xml:space="preserve">Pérdida de peso en pacientes con </w:t>
            </w:r>
          </w:p>
          <w:p w14:paraId="499399DC" w14:textId="78E58AED" w:rsidR="007B2AA3" w:rsidRDefault="007B2AA3" w:rsidP="0078687B">
            <w:r>
              <w:t>sobrepeso u obesidad no críticos, del 5 –</w:t>
            </w:r>
          </w:p>
          <w:p w14:paraId="0C6F9C5D" w14:textId="2FE7D073" w:rsidR="007B2AA3" w:rsidRDefault="007B2AA3" w:rsidP="0078687B">
            <w:r>
              <w:t>10%.</w:t>
            </w:r>
          </w:p>
          <w:p w14:paraId="03050982" w14:textId="77777777" w:rsidR="0078687B" w:rsidRDefault="0078687B" w:rsidP="0078687B"/>
          <w:p w14:paraId="3EF8A404" w14:textId="77777777" w:rsidR="007B2AA3" w:rsidRDefault="007B2AA3" w:rsidP="0078687B">
            <w:r>
              <w:t xml:space="preserve">Farmacológicas: </w:t>
            </w:r>
          </w:p>
          <w:p w14:paraId="35E056A5" w14:textId="4EBD9A55" w:rsidR="00F505AC" w:rsidRDefault="00F505AC" w:rsidP="0078687B">
            <w:r>
              <w:t>Fármaco mayormente utilizado-</w:t>
            </w:r>
          </w:p>
          <w:p w14:paraId="78628D39" w14:textId="0421D598" w:rsidR="007B2AA3" w:rsidRDefault="007B2AA3" w:rsidP="0078687B">
            <w:r>
              <w:t xml:space="preserve">Metformina </w:t>
            </w:r>
            <w:r w:rsidR="00F505AC">
              <w:t>500 mg.</w:t>
            </w:r>
          </w:p>
          <w:p w14:paraId="754A555D" w14:textId="77777777" w:rsidR="00F505AC" w:rsidRDefault="00F505AC" w:rsidP="0078687B"/>
          <w:p w14:paraId="6179107F" w14:textId="385DAB97" w:rsidR="00F505AC" w:rsidRDefault="00F505AC" w:rsidP="0078687B">
            <w:r>
              <w:t>Otros-</w:t>
            </w:r>
          </w:p>
          <w:p w14:paraId="2F34D4D4" w14:textId="77777777" w:rsidR="007B2AA3" w:rsidRDefault="007B2AA3" w:rsidP="0078687B">
            <w:r>
              <w:t>Sulfonilureas</w:t>
            </w:r>
          </w:p>
          <w:p w14:paraId="77D13E87" w14:textId="77777777" w:rsidR="007B2AA3" w:rsidRDefault="007B2AA3" w:rsidP="0078687B">
            <w:r>
              <w:t>Meglitinidas</w:t>
            </w:r>
          </w:p>
          <w:p w14:paraId="241500EB" w14:textId="77777777" w:rsidR="007B2AA3" w:rsidRDefault="007B2AA3" w:rsidP="0078687B">
            <w:r>
              <w:t xml:space="preserve">Los inhibidores de la enzima </w:t>
            </w:r>
          </w:p>
          <w:p w14:paraId="6F9A43CF" w14:textId="77777777" w:rsidR="007B2AA3" w:rsidRDefault="007B2AA3" w:rsidP="0078687B">
            <w:r>
              <w:t xml:space="preserve">Dipeptidil Dipeptidasa IV (DPP-IV) </w:t>
            </w:r>
          </w:p>
          <w:p w14:paraId="02487A5C" w14:textId="77777777" w:rsidR="007B2AA3" w:rsidRDefault="007B2AA3" w:rsidP="0078687B">
            <w:r>
              <w:t>(sitagliptina, vidagliptina, saxagliptina y</w:t>
            </w:r>
          </w:p>
          <w:p w14:paraId="4C01F20E" w14:textId="77777777" w:rsidR="007B2AA3" w:rsidRDefault="007B2AA3" w:rsidP="0078687B">
            <w:r>
              <w:t>linagliptina)</w:t>
            </w:r>
          </w:p>
          <w:p w14:paraId="06A7C1A5" w14:textId="77777777" w:rsidR="00572EBA" w:rsidRDefault="00572EBA" w:rsidP="0078687B">
            <w:r>
              <w:t>Los inhibidores de DPP-IV</w:t>
            </w:r>
          </w:p>
          <w:p w14:paraId="6426AECA" w14:textId="77777777" w:rsidR="00572EBA" w:rsidRDefault="00572EBA" w:rsidP="0078687B">
            <w:r>
              <w:t xml:space="preserve">La insulina es el medicamento más eficaz </w:t>
            </w:r>
          </w:p>
          <w:p w14:paraId="65984192" w14:textId="77777777" w:rsidR="00572EBA" w:rsidRDefault="00572EBA" w:rsidP="0078687B">
            <w:r>
              <w:t xml:space="preserve">para disminuir la glucemia. Cuando se </w:t>
            </w:r>
          </w:p>
          <w:p w14:paraId="4F11C94F" w14:textId="77777777" w:rsidR="00572EBA" w:rsidRDefault="00572EBA" w:rsidP="0078687B">
            <w:r>
              <w:t xml:space="preserve">emplea en dosis adecuadas, puede </w:t>
            </w:r>
          </w:p>
          <w:p w14:paraId="49FCE7A9" w14:textId="77777777" w:rsidR="00572EBA" w:rsidRDefault="00572EBA" w:rsidP="0078687B">
            <w:r>
              <w:t xml:space="preserve">disminuir los niveles de HbA1c hasta </w:t>
            </w:r>
          </w:p>
          <w:p w14:paraId="47ECDC6B" w14:textId="77777777" w:rsidR="00572EBA" w:rsidRDefault="00572EBA" w:rsidP="0078687B">
            <w:r>
              <w:t xml:space="preserve">conseguir las metas deseadas. No existe </w:t>
            </w:r>
          </w:p>
          <w:p w14:paraId="3BD5D3ED" w14:textId="77777777" w:rsidR="00572EBA" w:rsidRDefault="00572EBA" w:rsidP="0078687B">
            <w:r>
              <w:t>dosis máxima para lograr este efecto.</w:t>
            </w:r>
          </w:p>
          <w:p w14:paraId="12BC35B3" w14:textId="06500C19" w:rsidR="00572EBA" w:rsidRDefault="00572EBA" w:rsidP="0078687B"/>
        </w:tc>
      </w:tr>
    </w:tbl>
    <w:p w14:paraId="47BBD2B6" w14:textId="77777777" w:rsidR="00FC572E" w:rsidRDefault="00FC572E"/>
    <w:p w14:paraId="6B601DB5" w14:textId="77777777" w:rsidR="00572EBA" w:rsidRDefault="00572EBA" w:rsidP="00572EBA">
      <w:pPr>
        <w:jc w:val="center"/>
        <w:rPr>
          <w:sz w:val="36"/>
          <w:szCs w:val="36"/>
        </w:rPr>
      </w:pPr>
    </w:p>
    <w:p w14:paraId="70B30364" w14:textId="77777777" w:rsidR="00CC0378" w:rsidRDefault="00CC0378" w:rsidP="00572EBA">
      <w:pPr>
        <w:jc w:val="center"/>
        <w:rPr>
          <w:sz w:val="36"/>
          <w:szCs w:val="36"/>
        </w:rPr>
      </w:pPr>
    </w:p>
    <w:p w14:paraId="7B3F1F31" w14:textId="77777777" w:rsidR="00CC0378" w:rsidRDefault="00CC0378" w:rsidP="00572EBA">
      <w:pPr>
        <w:jc w:val="center"/>
        <w:rPr>
          <w:sz w:val="36"/>
          <w:szCs w:val="36"/>
        </w:rPr>
      </w:pPr>
    </w:p>
    <w:p w14:paraId="74E7F336" w14:textId="77777777" w:rsidR="00CC0378" w:rsidRPr="00572EBA" w:rsidRDefault="00CC0378" w:rsidP="00572EBA">
      <w:pPr>
        <w:jc w:val="center"/>
        <w:rPr>
          <w:sz w:val="36"/>
          <w:szCs w:val="36"/>
        </w:rPr>
      </w:pPr>
    </w:p>
    <w:p w14:paraId="075BAAB8" w14:textId="77777777" w:rsidR="00CC0378" w:rsidRDefault="00CC0378" w:rsidP="00572EBA">
      <w:pPr>
        <w:jc w:val="center"/>
        <w:rPr>
          <w:sz w:val="36"/>
          <w:szCs w:val="36"/>
        </w:rPr>
        <w:sectPr w:rsidR="00CC0378" w:rsidSect="00CC0378">
          <w:pgSz w:w="15840" w:h="12240" w:orient="landscape"/>
          <w:pgMar w:top="567" w:right="567" w:bottom="567" w:left="567" w:header="709" w:footer="709" w:gutter="0"/>
          <w:cols w:space="708"/>
          <w:docGrid w:linePitch="360"/>
        </w:sectPr>
      </w:pPr>
    </w:p>
    <w:p w14:paraId="501140DC" w14:textId="762BBF6D" w:rsidR="00572EBA" w:rsidRPr="00572EBA" w:rsidRDefault="00572EBA" w:rsidP="00572EBA">
      <w:pPr>
        <w:jc w:val="center"/>
        <w:rPr>
          <w:sz w:val="36"/>
          <w:szCs w:val="36"/>
        </w:rPr>
      </w:pPr>
      <w:r w:rsidRPr="00572EBA">
        <w:rPr>
          <w:sz w:val="36"/>
          <w:szCs w:val="36"/>
        </w:rPr>
        <w:lastRenderedPageBreak/>
        <w:t>REFERENCIAS:</w:t>
      </w:r>
    </w:p>
    <w:p w14:paraId="7515B861" w14:textId="2195AFE6" w:rsidR="00572EBA" w:rsidRPr="00CC0378" w:rsidRDefault="00572EBA" w:rsidP="00CC0378">
      <w:pPr>
        <w:pStyle w:val="NormalWeb"/>
        <w:spacing w:before="0" w:beforeAutospacing="0" w:after="0" w:afterAutospacing="0" w:line="480" w:lineRule="atLeast"/>
        <w:ind w:left="720" w:hanging="720"/>
        <w:rPr>
          <w:rFonts w:ascii="Calibri" w:hAnsi="Calibri" w:cs="Calibri"/>
          <w:color w:val="000000"/>
        </w:rPr>
      </w:pPr>
      <w:r w:rsidRPr="00F505AC">
        <w:rPr>
          <w:rFonts w:ascii="Calibri" w:hAnsi="Calibri" w:cs="Calibri"/>
          <w:color w:val="000000"/>
        </w:rPr>
        <w:t>IMSS. (2013, June 27). </w:t>
      </w:r>
      <w:r w:rsidRPr="00F505AC">
        <w:rPr>
          <w:rFonts w:ascii="Calibri" w:hAnsi="Calibri" w:cs="Calibri"/>
          <w:i/>
          <w:iCs/>
          <w:color w:val="000000"/>
        </w:rPr>
        <w:t>Diagnóstico y Tratamiento de Diabetes Mellitus en el Adulto Mayor Vulnerable</w:t>
      </w:r>
      <w:r w:rsidRPr="00F505AC">
        <w:rPr>
          <w:rFonts w:ascii="Calibri" w:hAnsi="Calibri" w:cs="Calibri"/>
          <w:color w:val="000000"/>
        </w:rPr>
        <w:t> (División de Excelencia Clínica Coordinación de Unidades Médicas de Alta Especialidad, Ed.) [Review of </w:t>
      </w:r>
      <w:r w:rsidRPr="00F505AC">
        <w:rPr>
          <w:rFonts w:ascii="Calibri" w:hAnsi="Calibri" w:cs="Calibri"/>
          <w:i/>
          <w:iCs/>
          <w:color w:val="000000"/>
        </w:rPr>
        <w:t>Diagnóstico y Tratamiento de Diabetes Mellitus en el Adulto Mayor Vulnerable</w:t>
      </w:r>
      <w:r w:rsidRPr="00F505AC">
        <w:rPr>
          <w:rFonts w:ascii="Calibri" w:hAnsi="Calibri" w:cs="Calibri"/>
          <w:color w:val="000000"/>
        </w:rPr>
        <w:t>]. INSTITUTO MEXICANO DEL SEGURO SOCIAL; IMSS. https://imss.gob.mx/sites/all/statics/guiasclinicas/657GER.pdf</w:t>
      </w:r>
    </w:p>
    <w:p w14:paraId="2260CED9" w14:textId="77777777" w:rsidR="00572EBA" w:rsidRDefault="00572EBA"/>
    <w:sectPr w:rsidR="00572EBA" w:rsidSect="00CC0378">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stellar">
    <w:panose1 w:val="020A04020604060103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D9F4" w14:textId="77777777" w:rsidR="00CC0378" w:rsidRDefault="00CC0378">
    <w:pPr>
      <w:pStyle w:val="Piedepgina"/>
    </w:pPr>
  </w:p>
  <w:p w14:paraId="0F64476D" w14:textId="77777777" w:rsidR="00CC0378" w:rsidRDefault="00CC037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0BCE"/>
    <w:multiLevelType w:val="hybridMultilevel"/>
    <w:tmpl w:val="42342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930E5A"/>
    <w:multiLevelType w:val="hybridMultilevel"/>
    <w:tmpl w:val="074C2994"/>
    <w:lvl w:ilvl="0" w:tplc="7A9667A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3146607">
    <w:abstractNumId w:val="0"/>
  </w:num>
  <w:num w:numId="2" w16cid:durableId="20742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2E"/>
    <w:rsid w:val="004E4681"/>
    <w:rsid w:val="00572EBA"/>
    <w:rsid w:val="0078687B"/>
    <w:rsid w:val="007B2AA3"/>
    <w:rsid w:val="00CC0378"/>
    <w:rsid w:val="00D9667E"/>
    <w:rsid w:val="00F505AC"/>
    <w:rsid w:val="00FC5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EE1"/>
  <w15:chartTrackingRefBased/>
  <w15:docId w15:val="{054A6E46-5582-43A0-A5A1-BD5529BD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5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4681"/>
    <w:pPr>
      <w:ind w:left="720"/>
      <w:contextualSpacing/>
    </w:pPr>
  </w:style>
  <w:style w:type="paragraph" w:styleId="NormalWeb">
    <w:name w:val="Normal (Web)"/>
    <w:basedOn w:val="Normal"/>
    <w:uiPriority w:val="99"/>
    <w:semiHidden/>
    <w:unhideWhenUsed/>
    <w:rsid w:val="00572EB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Piedepgina">
    <w:name w:val="footer"/>
    <w:basedOn w:val="Normal"/>
    <w:link w:val="PiedepginaCar"/>
    <w:uiPriority w:val="99"/>
    <w:unhideWhenUsed/>
    <w:rsid w:val="00CC0378"/>
    <w:pPr>
      <w:tabs>
        <w:tab w:val="center" w:pos="4419"/>
        <w:tab w:val="right" w:pos="8838"/>
      </w:tabs>
      <w:spacing w:after="0" w:line="240" w:lineRule="auto"/>
    </w:pPr>
    <w:rPr>
      <w:rFonts w:eastAsiaTheme="minorEastAsia"/>
      <w:kern w:val="0"/>
      <w:lang w:val="es-US" w:eastAsia="es-MX"/>
      <w14:ligatures w14:val="none"/>
    </w:rPr>
  </w:style>
  <w:style w:type="character" w:customStyle="1" w:styleId="PiedepginaCar">
    <w:name w:val="Pie de página Car"/>
    <w:basedOn w:val="Fuentedeprrafopredeter"/>
    <w:link w:val="Piedepgina"/>
    <w:uiPriority w:val="99"/>
    <w:rsid w:val="00CC0378"/>
    <w:rPr>
      <w:rFonts w:eastAsiaTheme="minorEastAsia"/>
      <w:kern w:val="0"/>
      <w:lang w:val="es-US"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966</Words>
  <Characters>5315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Natalia</dc:creator>
  <cp:keywords/>
  <dc:description/>
  <cp:lastModifiedBy>Hernández Natalia</cp:lastModifiedBy>
  <cp:revision>1</cp:revision>
  <dcterms:created xsi:type="dcterms:W3CDTF">2023-11-24T23:54:00Z</dcterms:created>
  <dcterms:modified xsi:type="dcterms:W3CDTF">2023-11-25T01:12:00Z</dcterms:modified>
</cp:coreProperties>
</file>