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D69AA" w14:textId="106A8997" w:rsidR="00EF4719" w:rsidRDefault="00EF4719" w:rsidP="00EF4719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15CBC38" wp14:editId="4B517E63">
            <wp:extent cx="2344420" cy="865505"/>
            <wp:effectExtent l="0" t="0" r="0" b="0"/>
            <wp:docPr id="805952445" name="Imagen 1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9" b="3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B76DF" w14:textId="77777777" w:rsidR="00EF4719" w:rsidRDefault="00EF4719" w:rsidP="00EF4719">
      <w:pPr>
        <w:jc w:val="center"/>
        <w:rPr>
          <w:rFonts w:ascii="Arial" w:hAnsi="Arial" w:cs="Arial"/>
        </w:rPr>
      </w:pPr>
    </w:p>
    <w:p w14:paraId="12CC45B2" w14:textId="77777777" w:rsidR="00EF4719" w:rsidRDefault="00EF4719" w:rsidP="00EF4719">
      <w:pPr>
        <w:jc w:val="center"/>
        <w:rPr>
          <w:rFonts w:ascii="Arial" w:hAnsi="Arial" w:cs="Arial"/>
        </w:rPr>
      </w:pPr>
    </w:p>
    <w:p w14:paraId="419A7ABB" w14:textId="560F3F84" w:rsidR="00EF4719" w:rsidRDefault="00EF4719" w:rsidP="00EF471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Materia: </w:t>
      </w:r>
      <w:r>
        <w:rPr>
          <w:rFonts w:ascii="Arial" w:hAnsi="Arial" w:cs="Arial"/>
        </w:rPr>
        <w:t>Farmacología I</w:t>
      </w:r>
    </w:p>
    <w:p w14:paraId="5E633332" w14:textId="77777777" w:rsidR="00EF4719" w:rsidRDefault="00EF4719" w:rsidP="00EF4719">
      <w:pPr>
        <w:jc w:val="center"/>
        <w:rPr>
          <w:rFonts w:ascii="Arial" w:hAnsi="Arial" w:cs="Arial"/>
        </w:rPr>
      </w:pPr>
    </w:p>
    <w:p w14:paraId="1EAFE826" w14:textId="77777777" w:rsidR="00EF4719" w:rsidRDefault="00EF4719" w:rsidP="00EF4719">
      <w:pPr>
        <w:rPr>
          <w:rFonts w:ascii="Arial" w:hAnsi="Arial" w:cs="Arial"/>
        </w:rPr>
      </w:pPr>
    </w:p>
    <w:p w14:paraId="5D69AB42" w14:textId="77777777" w:rsidR="00EF4719" w:rsidRDefault="00EF4719" w:rsidP="00EF4719">
      <w:pPr>
        <w:jc w:val="center"/>
        <w:rPr>
          <w:rFonts w:ascii="Arial" w:hAnsi="Arial" w:cs="Arial"/>
        </w:rPr>
      </w:pPr>
    </w:p>
    <w:p w14:paraId="39DBD852" w14:textId="77777777" w:rsidR="00EF4719" w:rsidRDefault="00EF4719" w:rsidP="00EF471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Docente: MVZ. José Luis Flores Gutiérrez </w:t>
      </w:r>
    </w:p>
    <w:p w14:paraId="4206975B" w14:textId="77777777" w:rsidR="00EF4719" w:rsidRDefault="00EF4719" w:rsidP="00EF4719">
      <w:pPr>
        <w:jc w:val="center"/>
        <w:rPr>
          <w:rFonts w:ascii="Arial" w:hAnsi="Arial" w:cs="Arial"/>
        </w:rPr>
      </w:pPr>
    </w:p>
    <w:p w14:paraId="11E96889" w14:textId="77777777" w:rsidR="00EF4719" w:rsidRDefault="00EF4719" w:rsidP="00EF4719">
      <w:pPr>
        <w:jc w:val="center"/>
        <w:rPr>
          <w:rFonts w:ascii="Arial" w:hAnsi="Arial" w:cs="Arial"/>
        </w:rPr>
      </w:pPr>
    </w:p>
    <w:p w14:paraId="425C0784" w14:textId="77777777" w:rsidR="00EF4719" w:rsidRDefault="00EF4719" w:rsidP="00EF4719">
      <w:pPr>
        <w:rPr>
          <w:rFonts w:ascii="Arial" w:hAnsi="Arial" w:cs="Arial"/>
        </w:rPr>
      </w:pPr>
    </w:p>
    <w:p w14:paraId="5F99322F" w14:textId="77777777" w:rsidR="00EF4719" w:rsidRDefault="00EF4719" w:rsidP="00EF471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Alumno: EMVZ. Jared Abdiel Santos Osorio</w:t>
      </w:r>
    </w:p>
    <w:p w14:paraId="1327301C" w14:textId="77777777" w:rsidR="00EF4719" w:rsidRDefault="00EF4719" w:rsidP="00EF4719">
      <w:pPr>
        <w:jc w:val="center"/>
        <w:rPr>
          <w:rFonts w:ascii="Arial" w:hAnsi="Arial" w:cs="Arial"/>
        </w:rPr>
      </w:pPr>
    </w:p>
    <w:p w14:paraId="616D5F63" w14:textId="77777777" w:rsidR="00EF4719" w:rsidRDefault="00EF4719" w:rsidP="00EF4719">
      <w:pPr>
        <w:rPr>
          <w:rFonts w:ascii="Arial" w:hAnsi="Arial" w:cs="Arial"/>
        </w:rPr>
      </w:pPr>
    </w:p>
    <w:p w14:paraId="3BF1422A" w14:textId="77777777" w:rsidR="00EF4719" w:rsidRDefault="00EF4719" w:rsidP="00EF4719">
      <w:pPr>
        <w:jc w:val="center"/>
        <w:rPr>
          <w:rFonts w:ascii="Arial" w:hAnsi="Arial" w:cs="Arial"/>
        </w:rPr>
      </w:pPr>
    </w:p>
    <w:p w14:paraId="31841FFF" w14:textId="77777777" w:rsidR="00EF4719" w:rsidRDefault="00EF4719" w:rsidP="00EF471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Carrera: Medicina Veterinaria y Zootecnia </w:t>
      </w:r>
    </w:p>
    <w:p w14:paraId="34CC5234" w14:textId="77777777" w:rsidR="00EF4719" w:rsidRDefault="00EF4719" w:rsidP="00EF4719">
      <w:pPr>
        <w:jc w:val="center"/>
        <w:rPr>
          <w:rFonts w:ascii="Arial" w:hAnsi="Arial" w:cs="Arial"/>
        </w:rPr>
      </w:pPr>
    </w:p>
    <w:p w14:paraId="1D7A6331" w14:textId="77777777" w:rsidR="00EF4719" w:rsidRDefault="00EF4719" w:rsidP="00EF4719">
      <w:pPr>
        <w:jc w:val="center"/>
        <w:rPr>
          <w:rFonts w:ascii="Arial" w:hAnsi="Arial" w:cs="Arial"/>
        </w:rPr>
      </w:pPr>
    </w:p>
    <w:p w14:paraId="7B3C2185" w14:textId="77777777" w:rsidR="00EF4719" w:rsidRDefault="00EF4719" w:rsidP="00EF4719">
      <w:pPr>
        <w:jc w:val="center"/>
        <w:rPr>
          <w:rFonts w:ascii="Arial" w:hAnsi="Arial" w:cs="Arial"/>
        </w:rPr>
      </w:pPr>
    </w:p>
    <w:p w14:paraId="4CDED989" w14:textId="77777777" w:rsidR="00EF4719" w:rsidRDefault="00EF4719" w:rsidP="00EF471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Trabajo: Super nota</w:t>
      </w:r>
    </w:p>
    <w:p w14:paraId="1C4C3E1B" w14:textId="77777777" w:rsidR="00EF4719" w:rsidRDefault="00EF4719" w:rsidP="00EF4719">
      <w:pPr>
        <w:jc w:val="center"/>
        <w:rPr>
          <w:rFonts w:ascii="Arial" w:hAnsi="Arial" w:cs="Arial"/>
        </w:rPr>
      </w:pPr>
    </w:p>
    <w:p w14:paraId="33F7436A" w14:textId="77777777" w:rsidR="00EF4719" w:rsidRDefault="00EF4719" w:rsidP="00EF4719">
      <w:pPr>
        <w:jc w:val="center"/>
        <w:rPr>
          <w:rFonts w:ascii="Arial" w:hAnsi="Arial" w:cs="Arial"/>
        </w:rPr>
      </w:pPr>
    </w:p>
    <w:p w14:paraId="2FE1F66D" w14:textId="77777777" w:rsidR="00EF4719" w:rsidRDefault="00EF4719" w:rsidP="00EF4719">
      <w:pPr>
        <w:jc w:val="center"/>
        <w:rPr>
          <w:rFonts w:ascii="Arial" w:hAnsi="Arial" w:cs="Arial"/>
        </w:rPr>
      </w:pPr>
    </w:p>
    <w:p w14:paraId="0AB780ED" w14:textId="77777777" w:rsidR="00EF4719" w:rsidRDefault="00EF4719" w:rsidP="00EF4719">
      <w:pPr>
        <w:jc w:val="center"/>
        <w:rPr>
          <w:rFonts w:ascii="Arial" w:hAnsi="Arial" w:cs="Arial"/>
        </w:rPr>
      </w:pPr>
    </w:p>
    <w:p w14:paraId="3CD9C8F5" w14:textId="77777777" w:rsidR="00EF4719" w:rsidRDefault="00EF4719" w:rsidP="00EF471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Fecha: 28/07/2023</w:t>
      </w:r>
    </w:p>
    <w:p w14:paraId="4DD8F508" w14:textId="77777777" w:rsidR="00EF4719" w:rsidRPr="00EF4719" w:rsidRDefault="00EF4719" w:rsidP="00EF4719">
      <w:pPr>
        <w:pStyle w:val="Ttulo3"/>
        <w:shd w:val="clear" w:color="auto" w:fill="FFFFFF"/>
        <w:spacing w:before="0" w:beforeAutospacing="0" w:after="12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 w:rsidRPr="00EF4719">
        <w:rPr>
          <w:rFonts w:ascii="Arial" w:hAnsi="Arial" w:cs="Arial"/>
          <w:sz w:val="28"/>
          <w:szCs w:val="28"/>
        </w:rPr>
        <w:lastRenderedPageBreak/>
        <w:t>Histamina</w:t>
      </w:r>
    </w:p>
    <w:p w14:paraId="173D1996" w14:textId="77777777" w:rsidR="00EF4719" w:rsidRPr="00EF4719" w:rsidRDefault="00EF4719" w:rsidP="00EF47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EF4719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Sustancia endógena implicada en la respuesta alérgica inmediata y la regulación del ácido gástrico</w:t>
      </w:r>
    </w:p>
    <w:p w14:paraId="1E0B55A1" w14:textId="77777777" w:rsidR="00EF4719" w:rsidRPr="00EF4719" w:rsidRDefault="00EF4719" w:rsidP="00EF47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EF4719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También participa en la modulación de neurotransmisores</w:t>
      </w:r>
    </w:p>
    <w:p w14:paraId="33E0B591" w14:textId="77777777" w:rsidR="00EF4719" w:rsidRPr="00EF4719" w:rsidRDefault="00EF4719" w:rsidP="00EF4719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EF4719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Principales sitios de almacenamiento:</w:t>
      </w:r>
    </w:p>
    <w:p w14:paraId="4EA2385E" w14:textId="77777777" w:rsidR="00EF4719" w:rsidRPr="00EF4719" w:rsidRDefault="00EF4719" w:rsidP="00EF471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EF4719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Mastocitos en los tejidos</w:t>
      </w:r>
    </w:p>
    <w:p w14:paraId="40594CEF" w14:textId="77777777" w:rsidR="00EF4719" w:rsidRPr="00EF4719" w:rsidRDefault="00EF4719" w:rsidP="00EF471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EF4719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Basófilos en la sangre</w:t>
      </w:r>
    </w:p>
    <w:p w14:paraId="3CE93E0C" w14:textId="77777777" w:rsidR="00EF4719" w:rsidRPr="00EF4719" w:rsidRDefault="00EF4719" w:rsidP="00EF47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EF4719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Tanto los basófilos como los mastocitos juegan un papel importante en las reacciones de hipersensibilidad de tipo I.</w:t>
      </w:r>
    </w:p>
    <w:p w14:paraId="5AFE284D" w14:textId="77777777" w:rsidR="00EF4719" w:rsidRPr="00EF4719" w:rsidRDefault="00EF4719" w:rsidP="00EF4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EF4719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Receptores de histamina y distribución:</w:t>
      </w:r>
    </w:p>
    <w:p w14:paraId="635CF8EC" w14:textId="77777777" w:rsidR="00EF4719" w:rsidRPr="00EF4719" w:rsidRDefault="00EF4719" w:rsidP="00EF471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EF4719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H1: músculos lisos (e.g., intestinal, bronquial), células endoteliales, sistema nervioso central (SNC)</w:t>
      </w:r>
    </w:p>
    <w:p w14:paraId="00C6659B" w14:textId="77777777" w:rsidR="00EF4719" w:rsidRPr="00EF4719" w:rsidRDefault="00EF4719" w:rsidP="00EF471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EF4719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H2: células parietales gástricas, músculo cardíaco, mastocitos, SNC</w:t>
      </w:r>
    </w:p>
    <w:p w14:paraId="5634A60D" w14:textId="77777777" w:rsidR="00EF4719" w:rsidRPr="00EF4719" w:rsidRDefault="00EF4719" w:rsidP="00EF471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EF4719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H3: SNC</w:t>
      </w:r>
    </w:p>
    <w:p w14:paraId="3CD32A26" w14:textId="77777777" w:rsidR="00EF4719" w:rsidRPr="00EF4719" w:rsidRDefault="00EF4719" w:rsidP="00EF471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EF4719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H4: células de origen hematopoyético</w:t>
      </w:r>
    </w:p>
    <w:p w14:paraId="019632B1" w14:textId="77777777" w:rsidR="00EF4719" w:rsidRPr="00EF4719" w:rsidRDefault="00EF4719" w:rsidP="00EF4719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kern w:val="0"/>
          <w:sz w:val="28"/>
          <w:szCs w:val="28"/>
          <w:lang w:eastAsia="es-MX"/>
          <w14:ligatures w14:val="none"/>
        </w:rPr>
      </w:pPr>
      <w:r w:rsidRPr="00EF4719">
        <w:rPr>
          <w:rFonts w:ascii="Arial" w:eastAsia="Times New Roman" w:hAnsi="Arial" w:cs="Arial"/>
          <w:b/>
          <w:bCs/>
          <w:kern w:val="0"/>
          <w:sz w:val="28"/>
          <w:szCs w:val="28"/>
          <w:lang w:eastAsia="es-MX"/>
          <w14:ligatures w14:val="none"/>
        </w:rPr>
        <w:t>Antihistamínicos</w:t>
      </w:r>
    </w:p>
    <w:p w14:paraId="7A236A5E" w14:textId="77777777" w:rsidR="00EF4719" w:rsidRPr="00EF4719" w:rsidRDefault="00EF4719" w:rsidP="00EF47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EF4719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Los antagonistas de los receptores H1 y H2 (antihistamínicos) están aprobados para uso clínico.</w:t>
      </w:r>
    </w:p>
    <w:p w14:paraId="3BB48F96" w14:textId="77777777" w:rsidR="00EF4719" w:rsidRPr="00EF4719" w:rsidRDefault="00EF4719" w:rsidP="00EF47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EF4719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Antagonistas H1:</w:t>
      </w:r>
    </w:p>
    <w:p w14:paraId="18F5410A" w14:textId="77777777" w:rsidR="00EF4719" w:rsidRPr="00EF4719" w:rsidRDefault="00EF4719" w:rsidP="00EF471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EF4719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Se utilizan para controlar los síntomas alérgicos</w:t>
      </w:r>
    </w:p>
    <w:p w14:paraId="13CCE46B" w14:textId="77777777" w:rsidR="00EF4719" w:rsidRPr="00EF4719" w:rsidRDefault="00EF4719" w:rsidP="00EF471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EF4719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Los medicamentos de 1ra generación atraviesan la barrera hematoencefálica, interactuando así con receptores en el SNC y provocando sedación.</w:t>
      </w:r>
    </w:p>
    <w:p w14:paraId="74750493" w14:textId="6B406D8A" w:rsidR="00957230" w:rsidRDefault="00EF4719" w:rsidP="0095723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EF4719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Los medicamentos de 2da generación no cruzan la barrera hematoencefálica y se consideran no sedantes.</w:t>
      </w:r>
    </w:p>
    <w:p w14:paraId="0A2AFA30" w14:textId="77777777" w:rsidR="00957230" w:rsidRPr="00EF4719" w:rsidRDefault="00957230" w:rsidP="00957230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</w:p>
    <w:p w14:paraId="24B6B73B" w14:textId="77777777" w:rsidR="00EF4719" w:rsidRPr="00EF4719" w:rsidRDefault="00EF4719" w:rsidP="00EF47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EF4719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Antagonistas H2:</w:t>
      </w:r>
    </w:p>
    <w:p w14:paraId="10A0131A" w14:textId="77777777" w:rsidR="00EF4719" w:rsidRPr="00EF4719" w:rsidRDefault="00EF4719" w:rsidP="00EF471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EF4719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Ejercen efectos sobre el tracto gastrointestinal superior</w:t>
      </w:r>
    </w:p>
    <w:p w14:paraId="6809768E" w14:textId="77777777" w:rsidR="00EF4719" w:rsidRDefault="00EF4719" w:rsidP="00EF471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EF4719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Previenen la liberación de ácido inducida por histamina</w:t>
      </w:r>
    </w:p>
    <w:p w14:paraId="24803EED" w14:textId="77777777" w:rsidR="00957230" w:rsidRDefault="00957230" w:rsidP="009572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</w:p>
    <w:p w14:paraId="41BF6318" w14:textId="77777777" w:rsidR="00957230" w:rsidRDefault="00957230" w:rsidP="009572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</w:pPr>
    </w:p>
    <w:p w14:paraId="59754F04" w14:textId="77777777" w:rsidR="00EF4719" w:rsidRPr="00EF4719" w:rsidRDefault="00EF4719" w:rsidP="00EF4719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</w:pPr>
    </w:p>
    <w:p w14:paraId="7BFC574F" w14:textId="4322BA5B" w:rsidR="00EF4719" w:rsidRPr="00EF4719" w:rsidRDefault="00EF4719" w:rsidP="00EF4719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kern w:val="0"/>
          <w:sz w:val="28"/>
          <w:szCs w:val="28"/>
          <w:lang w:eastAsia="es-MX"/>
          <w14:ligatures w14:val="none"/>
        </w:rPr>
      </w:pPr>
      <w:r w:rsidRPr="00EF4719">
        <w:rPr>
          <w:rFonts w:ascii="Arial" w:eastAsia="Times New Roman" w:hAnsi="Arial" w:cs="Arial"/>
          <w:b/>
          <w:bCs/>
          <w:kern w:val="0"/>
          <w:sz w:val="28"/>
          <w:szCs w:val="28"/>
          <w:lang w:eastAsia="es-MX"/>
          <w14:ligatures w14:val="none"/>
        </w:rPr>
        <w:lastRenderedPageBreak/>
        <w:t>Estructura química y farmacodinamia</w:t>
      </w:r>
      <w:r w:rsidRPr="00EF4719">
        <w:rPr>
          <w:rFonts w:ascii="Arial" w:eastAsia="Times New Roman" w:hAnsi="Arial" w:cs="Arial"/>
          <w:b/>
          <w:bCs/>
          <w:kern w:val="0"/>
          <w:sz w:val="28"/>
          <w:szCs w:val="28"/>
          <w:lang w:eastAsia="es-MX"/>
          <w14:ligatures w14:val="none"/>
        </w:rPr>
        <w:t xml:space="preserve"> H1</w:t>
      </w:r>
    </w:p>
    <w:p w14:paraId="1AAE6518" w14:textId="77777777" w:rsidR="00EF4719" w:rsidRPr="00EF4719" w:rsidRDefault="00EF4719" w:rsidP="00EF47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EF4719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Muchos antagonistas H1 tienen un residuo de etilamina sustituido.</w:t>
      </w:r>
    </w:p>
    <w:p w14:paraId="2F6909C9" w14:textId="77777777" w:rsidR="00EF4719" w:rsidRPr="00EF4719" w:rsidRDefault="00EF4719" w:rsidP="00EF47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EF4719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Mecanismo de acción:</w:t>
      </w:r>
    </w:p>
    <w:p w14:paraId="6BA9231B" w14:textId="77777777" w:rsidR="00EF4719" w:rsidRPr="00EF4719" w:rsidRDefault="00EF4719" w:rsidP="00EF4719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EF4719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Antagonistas competitivos del receptor H1</w:t>
      </w:r>
    </w:p>
    <w:p w14:paraId="52B4C0C3" w14:textId="77777777" w:rsidR="00EF4719" w:rsidRPr="00EF4719" w:rsidRDefault="00EF4719" w:rsidP="00EF4719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EF4719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Capaces de bloquear los receptores muscarínicos (1ra generación)</w:t>
      </w:r>
    </w:p>
    <w:p w14:paraId="7B53DFB7" w14:textId="77777777" w:rsidR="00EF4719" w:rsidRPr="00EF4719" w:rsidRDefault="00EF4719" w:rsidP="00EF47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EF4719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Efectos:</w:t>
      </w:r>
    </w:p>
    <w:p w14:paraId="5BBA5861" w14:textId="77777777" w:rsidR="00EF4719" w:rsidRPr="00EF4719" w:rsidRDefault="00EF4719" w:rsidP="00EF4719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EF4719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Inhiben la constricción de los músculos lisos (e.g., músculos respiratorios)</w:t>
      </w:r>
    </w:p>
    <w:p w14:paraId="16DD6678" w14:textId="77777777" w:rsidR="00EF4719" w:rsidRPr="00EF4719" w:rsidRDefault="00EF4719" w:rsidP="00EF4719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EF4719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Inhiben la vasodilatación (células endoteliales)</w:t>
      </w:r>
    </w:p>
    <w:p w14:paraId="46B0CC48" w14:textId="77777777" w:rsidR="00EF4719" w:rsidRPr="00EF4719" w:rsidRDefault="00EF4719" w:rsidP="00EF4719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EF4719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↓ Permeabilidad capilar, reduciendo el edema y la formación de ronchas</w:t>
      </w:r>
    </w:p>
    <w:p w14:paraId="0799B2F6" w14:textId="77777777" w:rsidR="00EF4719" w:rsidRPr="00EF4719" w:rsidRDefault="00EF4719" w:rsidP="00EF4719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EF4719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Pueden suprimir el prurito al reducir los efectos de la histamina en las terminaciones nerviosas</w:t>
      </w:r>
    </w:p>
    <w:p w14:paraId="2E7341D0" w14:textId="77777777" w:rsidR="00EF4719" w:rsidRPr="00EF4719" w:rsidRDefault="00EF4719" w:rsidP="00EF4719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</w:pPr>
      <w:r w:rsidRPr="00EF4719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Los antagonistas H1 tienen efectos anticolinérgicos debido a la inhibición de los receptores muscarínicos (utilizados terapéuticamente para tratar la cinetosis).</w:t>
      </w:r>
    </w:p>
    <w:p w14:paraId="1BBBB8DE" w14:textId="77777777" w:rsidR="00EF4719" w:rsidRPr="00EF4719" w:rsidRDefault="00EF4719" w:rsidP="00EF4719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</w:pPr>
    </w:p>
    <w:p w14:paraId="4A5C9BC7" w14:textId="60F878C7" w:rsidR="00EF4719" w:rsidRPr="00EF4719" w:rsidRDefault="00EF4719" w:rsidP="00EF4719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kern w:val="0"/>
          <w:sz w:val="28"/>
          <w:szCs w:val="28"/>
          <w:lang w:eastAsia="es-MX"/>
          <w14:ligatures w14:val="none"/>
        </w:rPr>
      </w:pPr>
      <w:r w:rsidRPr="00EF4719">
        <w:rPr>
          <w:rFonts w:ascii="Arial" w:eastAsia="Times New Roman" w:hAnsi="Arial" w:cs="Arial"/>
          <w:b/>
          <w:bCs/>
          <w:kern w:val="0"/>
          <w:sz w:val="28"/>
          <w:szCs w:val="28"/>
          <w:lang w:eastAsia="es-MX"/>
          <w14:ligatures w14:val="none"/>
        </w:rPr>
        <w:t>Estructura química y farmacodinamia</w:t>
      </w:r>
      <w:r w:rsidRPr="00EF4719">
        <w:rPr>
          <w:rFonts w:ascii="Arial" w:eastAsia="Times New Roman" w:hAnsi="Arial" w:cs="Arial"/>
          <w:b/>
          <w:bCs/>
          <w:kern w:val="0"/>
          <w:sz w:val="28"/>
          <w:szCs w:val="28"/>
          <w:lang w:eastAsia="es-MX"/>
          <w14:ligatures w14:val="none"/>
        </w:rPr>
        <w:t xml:space="preserve"> H2</w:t>
      </w:r>
    </w:p>
    <w:p w14:paraId="5DD0F057" w14:textId="77777777" w:rsidR="00EF4719" w:rsidRPr="00EF4719" w:rsidRDefault="00EF4719" w:rsidP="00EF47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EF4719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Los medicamentos son moléculas de histamina modificadas con cadenas laterales más voluminosas.</w:t>
      </w:r>
    </w:p>
    <w:p w14:paraId="33A12BA6" w14:textId="77777777" w:rsidR="00EF4719" w:rsidRPr="00EF4719" w:rsidRDefault="00EF4719" w:rsidP="00EF47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EF4719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Mecanismo de acción:</w:t>
      </w:r>
    </w:p>
    <w:p w14:paraId="49144450" w14:textId="77777777" w:rsidR="00EF4719" w:rsidRPr="00EF4719" w:rsidRDefault="00EF4719" w:rsidP="00EF4719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EF4719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Unión reversible a los receptores de histamina H2 ubicados en las células parietales gástricas</w:t>
      </w:r>
    </w:p>
    <w:p w14:paraId="298D9611" w14:textId="77777777" w:rsidR="00EF4719" w:rsidRPr="00EF4719" w:rsidRDefault="00EF4719" w:rsidP="00EF4719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EF4719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Altamente selectivos (otros receptores de histamina generalmente no se ven afectados)</w:t>
      </w:r>
    </w:p>
    <w:p w14:paraId="58F56CB0" w14:textId="0C04C88D" w:rsidR="00EF4719" w:rsidRPr="00EF4719" w:rsidRDefault="00EF4719" w:rsidP="00EF4719">
      <w:pPr>
        <w:rPr>
          <w:sz w:val="24"/>
          <w:szCs w:val="24"/>
        </w:rPr>
      </w:pPr>
    </w:p>
    <w:sectPr w:rsidR="00EF4719" w:rsidRPr="00EF47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7720"/>
    <w:multiLevelType w:val="multilevel"/>
    <w:tmpl w:val="CC10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957716"/>
    <w:multiLevelType w:val="multilevel"/>
    <w:tmpl w:val="D69E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637D4"/>
    <w:multiLevelType w:val="multilevel"/>
    <w:tmpl w:val="19BE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4C31F0"/>
    <w:multiLevelType w:val="multilevel"/>
    <w:tmpl w:val="02140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591BF1"/>
    <w:multiLevelType w:val="multilevel"/>
    <w:tmpl w:val="2C8EA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8436C8"/>
    <w:multiLevelType w:val="multilevel"/>
    <w:tmpl w:val="CDE0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1069779">
    <w:abstractNumId w:val="4"/>
  </w:num>
  <w:num w:numId="2" w16cid:durableId="411664203">
    <w:abstractNumId w:val="3"/>
  </w:num>
  <w:num w:numId="3" w16cid:durableId="177626901">
    <w:abstractNumId w:val="0"/>
  </w:num>
  <w:num w:numId="4" w16cid:durableId="1621032997">
    <w:abstractNumId w:val="5"/>
  </w:num>
  <w:num w:numId="5" w16cid:durableId="979578156">
    <w:abstractNumId w:val="2"/>
  </w:num>
  <w:num w:numId="6" w16cid:durableId="823787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719"/>
    <w:rsid w:val="00957230"/>
    <w:rsid w:val="00EF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DF34D"/>
  <w15:chartTrackingRefBased/>
  <w15:docId w15:val="{0B57930E-1F23-4F34-BC90-5EE4AAAF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719"/>
    <w:pPr>
      <w:spacing w:line="252" w:lineRule="auto"/>
    </w:pPr>
  </w:style>
  <w:style w:type="paragraph" w:styleId="Ttulo3">
    <w:name w:val="heading 3"/>
    <w:basedOn w:val="Normal"/>
    <w:link w:val="Ttulo3Car"/>
    <w:uiPriority w:val="9"/>
    <w:qFormat/>
    <w:rsid w:val="00EF47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MX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F4719"/>
    <w:rPr>
      <w:rFonts w:ascii="Times New Roman" w:eastAsia="Times New Roman" w:hAnsi="Times New Roman" w:cs="Times New Roman"/>
      <w:b/>
      <w:bCs/>
      <w:kern w:val="0"/>
      <w:sz w:val="27"/>
      <w:szCs w:val="27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EF4719"/>
    <w:rPr>
      <w:b/>
      <w:bCs/>
    </w:rPr>
  </w:style>
  <w:style w:type="paragraph" w:styleId="Prrafodelista">
    <w:name w:val="List Paragraph"/>
    <w:basedOn w:val="Normal"/>
    <w:uiPriority w:val="34"/>
    <w:qFormat/>
    <w:rsid w:val="00EF4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32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0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61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0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51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65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6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33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373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2</cp:revision>
  <dcterms:created xsi:type="dcterms:W3CDTF">2023-07-29T00:15:00Z</dcterms:created>
  <dcterms:modified xsi:type="dcterms:W3CDTF">2023-07-29T00:28:00Z</dcterms:modified>
</cp:coreProperties>
</file>