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5E479" w14:textId="5D56BAFE" w:rsidR="00E53E19" w:rsidRDefault="00C66424" w:rsidP="00E53E19">
      <w:pPr>
        <w:pStyle w:val="Citadestacada"/>
      </w:pPr>
      <w:r>
        <w:t>Síndrome geriátricos</w:t>
      </w:r>
    </w:p>
    <w:p w14:paraId="635086D3" w14:textId="7389BB66" w:rsidR="00C66424" w:rsidRDefault="00033AF1" w:rsidP="00033AF1">
      <w:pPr>
        <w:jc w:val="both"/>
        <w:rPr>
          <w:rFonts w:ascii="NexusSansPro" w:eastAsia="Times New Roman" w:hAnsi="NexusSansPro"/>
          <w:color w:val="505050"/>
          <w:sz w:val="30"/>
          <w:szCs w:val="30"/>
        </w:rPr>
      </w:pPr>
      <w:r>
        <w:rPr>
          <w:rFonts w:ascii="Arial" w:eastAsia="Times New Roman" w:hAnsi="Arial" w:cs="Arial"/>
          <w:color w:val="505050"/>
          <w:sz w:val="24"/>
          <w:szCs w:val="24"/>
        </w:rPr>
        <w:t>E</w:t>
      </w:r>
      <w:r w:rsidR="003D14F1" w:rsidRPr="00B76FCE">
        <w:rPr>
          <w:rFonts w:ascii="Arial" w:eastAsia="Times New Roman" w:hAnsi="Arial" w:cs="Arial"/>
          <w:color w:val="505050"/>
          <w:sz w:val="24"/>
          <w:szCs w:val="24"/>
        </w:rPr>
        <w:t>sta denominación se utiliza para referirse a un conjunto de cuadros, originados por la conjunción de una serie de enfermedades que alcanzan una enorme prevalencia en el</w:t>
      </w:r>
      <w:r w:rsidR="00952155">
        <w:rPr>
          <w:rFonts w:ascii="Arial" w:eastAsia="Times New Roman" w:hAnsi="Arial" w:cs="Arial"/>
          <w:color w:val="505050"/>
          <w:sz w:val="24"/>
          <w:szCs w:val="24"/>
        </w:rPr>
        <w:t xml:space="preserve"> </w:t>
      </w:r>
      <w:r w:rsidR="003D14F1" w:rsidRPr="00B76FCE">
        <w:rPr>
          <w:rFonts w:ascii="Arial" w:eastAsia="Times New Roman" w:hAnsi="Arial" w:cs="Arial"/>
          <w:color w:val="505050"/>
          <w:sz w:val="24"/>
          <w:szCs w:val="24"/>
        </w:rPr>
        <w:t>anciano, y que son frecuente origen de incapacidad funcional o social</w:t>
      </w:r>
      <w:r w:rsidR="003D14F1">
        <w:rPr>
          <w:rFonts w:ascii="NexusSansPro" w:eastAsia="Times New Roman" w:hAnsi="NexusSansPro"/>
          <w:color w:val="505050"/>
          <w:sz w:val="30"/>
          <w:szCs w:val="30"/>
        </w:rPr>
        <w:t>.</w:t>
      </w:r>
    </w:p>
    <w:p w14:paraId="41CA16A0" w14:textId="77777777" w:rsidR="0087311A" w:rsidRDefault="006401FE" w:rsidP="00A35335">
      <w:pPr>
        <w:jc w:val="both"/>
        <w:rPr>
          <w:rFonts w:ascii="Arial" w:eastAsia="Times New Roman" w:hAnsi="Arial" w:cs="Arial"/>
          <w:color w:val="505050"/>
          <w:sz w:val="24"/>
          <w:szCs w:val="24"/>
        </w:rPr>
      </w:pPr>
      <w:r w:rsidRPr="00A35335">
        <w:rPr>
          <w:rFonts w:ascii="Arial" w:eastAsia="Times New Roman" w:hAnsi="Arial" w:cs="Arial"/>
          <w:color w:val="505050"/>
          <w:sz w:val="24"/>
          <w:szCs w:val="24"/>
        </w:rPr>
        <w:t xml:space="preserve">Los </w:t>
      </w:r>
      <w:r w:rsidR="00A35335">
        <w:rPr>
          <w:rFonts w:ascii="Arial" w:eastAsia="Times New Roman" w:hAnsi="Arial" w:cs="Arial"/>
          <w:color w:val="505050"/>
          <w:sz w:val="24"/>
          <w:szCs w:val="24"/>
        </w:rPr>
        <w:t>síndromes mas conocidos son</w:t>
      </w:r>
      <w:r w:rsidRPr="00A35335">
        <w:rPr>
          <w:rFonts w:ascii="Arial" w:eastAsia="Times New Roman" w:hAnsi="Arial" w:cs="Arial"/>
          <w:color w:val="505050"/>
          <w:sz w:val="24"/>
          <w:szCs w:val="24"/>
        </w:rPr>
        <w:t xml:space="preserve">: </w:t>
      </w:r>
    </w:p>
    <w:p w14:paraId="0EB21FF7" w14:textId="0A30C7BD" w:rsidR="0087311A" w:rsidRDefault="0087311A" w:rsidP="0087311A">
      <w:pPr>
        <w:pStyle w:val="Prrafodelista"/>
        <w:numPr>
          <w:ilvl w:val="0"/>
          <w:numId w:val="1"/>
        </w:numPr>
        <w:jc w:val="both"/>
        <w:rPr>
          <w:rFonts w:ascii="Arial" w:eastAsia="Times New Roman" w:hAnsi="Arial" w:cs="Arial"/>
          <w:color w:val="505050"/>
          <w:sz w:val="24"/>
          <w:szCs w:val="24"/>
        </w:rPr>
      </w:pPr>
      <w:r w:rsidRPr="0087311A">
        <w:rPr>
          <w:rFonts w:ascii="Arial" w:eastAsia="Times New Roman" w:hAnsi="Arial" w:cs="Arial"/>
          <w:color w:val="505050"/>
          <w:sz w:val="24"/>
          <w:szCs w:val="24"/>
        </w:rPr>
        <w:t>I</w:t>
      </w:r>
      <w:r w:rsidR="006401FE" w:rsidRPr="0087311A">
        <w:rPr>
          <w:rFonts w:ascii="Arial" w:eastAsia="Times New Roman" w:hAnsi="Arial" w:cs="Arial"/>
          <w:color w:val="505050"/>
          <w:sz w:val="24"/>
          <w:szCs w:val="24"/>
        </w:rPr>
        <w:t>nmovilidad</w:t>
      </w:r>
    </w:p>
    <w:p w14:paraId="24472C88" w14:textId="63657993" w:rsidR="0087311A" w:rsidRDefault="006401FE" w:rsidP="0087311A">
      <w:pPr>
        <w:pStyle w:val="Prrafodelista"/>
        <w:numPr>
          <w:ilvl w:val="0"/>
          <w:numId w:val="1"/>
        </w:numPr>
        <w:jc w:val="both"/>
        <w:rPr>
          <w:rFonts w:ascii="Arial" w:eastAsia="Times New Roman" w:hAnsi="Arial" w:cs="Arial"/>
          <w:color w:val="505050"/>
          <w:sz w:val="24"/>
          <w:szCs w:val="24"/>
        </w:rPr>
      </w:pPr>
      <w:r w:rsidRPr="0087311A">
        <w:rPr>
          <w:rFonts w:ascii="Arial" w:eastAsia="Times New Roman" w:hAnsi="Arial" w:cs="Arial"/>
          <w:color w:val="505050"/>
          <w:sz w:val="24"/>
          <w:szCs w:val="24"/>
        </w:rPr>
        <w:t xml:space="preserve"> </w:t>
      </w:r>
      <w:r w:rsidR="0087311A">
        <w:rPr>
          <w:rFonts w:ascii="Arial" w:eastAsia="Times New Roman" w:hAnsi="Arial" w:cs="Arial"/>
          <w:color w:val="505050"/>
          <w:sz w:val="24"/>
          <w:szCs w:val="24"/>
        </w:rPr>
        <w:t>I</w:t>
      </w:r>
      <w:r w:rsidRPr="0087311A">
        <w:rPr>
          <w:rFonts w:ascii="Arial" w:eastAsia="Times New Roman" w:hAnsi="Arial" w:cs="Arial"/>
          <w:color w:val="505050"/>
          <w:sz w:val="24"/>
          <w:szCs w:val="24"/>
        </w:rPr>
        <w:t>nestabilidad-caídas</w:t>
      </w:r>
    </w:p>
    <w:p w14:paraId="50B56722" w14:textId="77A95B4A" w:rsidR="0087311A" w:rsidRDefault="0087311A" w:rsidP="0087311A">
      <w:pPr>
        <w:pStyle w:val="Prrafodelista"/>
        <w:numPr>
          <w:ilvl w:val="0"/>
          <w:numId w:val="1"/>
        </w:numPr>
        <w:jc w:val="both"/>
        <w:rPr>
          <w:rFonts w:ascii="Arial" w:eastAsia="Times New Roman" w:hAnsi="Arial" w:cs="Arial"/>
          <w:color w:val="505050"/>
          <w:sz w:val="24"/>
          <w:szCs w:val="24"/>
        </w:rPr>
      </w:pPr>
      <w:r>
        <w:rPr>
          <w:rFonts w:ascii="Arial" w:eastAsia="Times New Roman" w:hAnsi="Arial" w:cs="Arial"/>
          <w:color w:val="505050"/>
          <w:sz w:val="24"/>
          <w:szCs w:val="24"/>
        </w:rPr>
        <w:t>I</w:t>
      </w:r>
      <w:r w:rsidR="006401FE" w:rsidRPr="0087311A">
        <w:rPr>
          <w:rFonts w:ascii="Arial" w:eastAsia="Times New Roman" w:hAnsi="Arial" w:cs="Arial"/>
          <w:color w:val="505050"/>
          <w:sz w:val="24"/>
          <w:szCs w:val="24"/>
        </w:rPr>
        <w:t xml:space="preserve">ncontinencia urinaria </w:t>
      </w:r>
    </w:p>
    <w:p w14:paraId="56BD29B5" w14:textId="41F7B034" w:rsidR="006401FE" w:rsidRPr="0087311A" w:rsidRDefault="006401FE" w:rsidP="0087311A">
      <w:pPr>
        <w:pStyle w:val="Prrafodelista"/>
        <w:numPr>
          <w:ilvl w:val="0"/>
          <w:numId w:val="1"/>
        </w:numPr>
        <w:jc w:val="both"/>
        <w:rPr>
          <w:rFonts w:ascii="Arial" w:eastAsia="Times New Roman" w:hAnsi="Arial" w:cs="Arial"/>
          <w:color w:val="505050"/>
          <w:sz w:val="24"/>
          <w:szCs w:val="24"/>
        </w:rPr>
      </w:pPr>
      <w:r w:rsidRPr="0087311A">
        <w:rPr>
          <w:rFonts w:ascii="Arial" w:eastAsia="Times New Roman" w:hAnsi="Arial" w:cs="Arial"/>
          <w:color w:val="505050"/>
          <w:sz w:val="24"/>
          <w:szCs w:val="24"/>
        </w:rPr>
        <w:t xml:space="preserve"> </w:t>
      </w:r>
      <w:r w:rsidR="0087311A">
        <w:rPr>
          <w:rFonts w:ascii="Arial" w:eastAsia="Times New Roman" w:hAnsi="Arial" w:cs="Arial"/>
          <w:color w:val="505050"/>
          <w:sz w:val="24"/>
          <w:szCs w:val="24"/>
        </w:rPr>
        <w:t>D</w:t>
      </w:r>
      <w:r w:rsidRPr="0087311A">
        <w:rPr>
          <w:rFonts w:ascii="Arial" w:eastAsia="Times New Roman" w:hAnsi="Arial" w:cs="Arial"/>
          <w:color w:val="505050"/>
          <w:sz w:val="24"/>
          <w:szCs w:val="24"/>
        </w:rPr>
        <w:t>eterioro cognitivo.</w:t>
      </w:r>
    </w:p>
    <w:p w14:paraId="6B0B7A3D" w14:textId="6F01F685" w:rsidR="0087311A" w:rsidRPr="00C709DB" w:rsidRDefault="008F4596" w:rsidP="00C709DB">
      <w:pPr>
        <w:jc w:val="both"/>
        <w:rPr>
          <w:rFonts w:ascii="Arial" w:eastAsia="Times New Roman" w:hAnsi="Arial" w:cs="Arial"/>
          <w:color w:val="505050"/>
          <w:sz w:val="24"/>
          <w:szCs w:val="24"/>
        </w:rPr>
      </w:pPr>
      <w:r w:rsidRPr="00C709DB">
        <w:rPr>
          <w:rFonts w:ascii="Arial" w:eastAsia="Times New Roman" w:hAnsi="Arial" w:cs="Arial"/>
          <w:color w:val="505050"/>
          <w:sz w:val="24"/>
          <w:szCs w:val="24"/>
        </w:rPr>
        <w:t>Los diferentes síndromes geriátricos comparten las siguientes características:</w:t>
      </w:r>
    </w:p>
    <w:p w14:paraId="395B41CE" w14:textId="340B7B4B" w:rsidR="008F4596" w:rsidRPr="00C709DB" w:rsidRDefault="00E67702" w:rsidP="00C709DB">
      <w:pPr>
        <w:pStyle w:val="Prrafodelista"/>
        <w:numPr>
          <w:ilvl w:val="0"/>
          <w:numId w:val="2"/>
        </w:numPr>
        <w:jc w:val="both"/>
        <w:rPr>
          <w:rFonts w:ascii="Arial" w:hAnsi="Arial" w:cs="Arial"/>
          <w:sz w:val="24"/>
          <w:szCs w:val="24"/>
        </w:rPr>
      </w:pPr>
      <w:r w:rsidRPr="00C709DB">
        <w:rPr>
          <w:rFonts w:ascii="Arial" w:eastAsia="Times New Roman" w:hAnsi="Arial" w:cs="Arial"/>
          <w:color w:val="505050"/>
          <w:sz w:val="24"/>
          <w:szCs w:val="24"/>
        </w:rPr>
        <w:t>Elevada frecuencia: su incidencia y prevalencia son elevadas entre la población mayor de 65 años, pero aumentan aún más si se consideran determinados grupos, como son los mayores de 80 años, las personas hospitalizadas o los residentes en instituciones.</w:t>
      </w:r>
    </w:p>
    <w:p w14:paraId="55202467" w14:textId="3E44E28C" w:rsidR="00E67702" w:rsidRPr="00C709DB" w:rsidRDefault="00711D42" w:rsidP="00C709DB">
      <w:pPr>
        <w:pStyle w:val="Prrafodelista"/>
        <w:numPr>
          <w:ilvl w:val="0"/>
          <w:numId w:val="2"/>
        </w:numPr>
        <w:jc w:val="both"/>
        <w:rPr>
          <w:rFonts w:ascii="Arial" w:hAnsi="Arial" w:cs="Arial"/>
          <w:sz w:val="24"/>
          <w:szCs w:val="24"/>
        </w:rPr>
      </w:pPr>
      <w:r w:rsidRPr="00C709DB">
        <w:rPr>
          <w:rFonts w:ascii="Arial" w:eastAsia="Times New Roman" w:hAnsi="Arial" w:cs="Arial"/>
          <w:color w:val="505050"/>
          <w:sz w:val="24"/>
          <w:szCs w:val="24"/>
        </w:rPr>
        <w:t>Tras su aparición, todos ellos originan un importante deterioro en la calidad de vida de las personas que los padecen, y a menudo, generan o incrementan la dependencia de otras personas, produciéndose un aumento de las necesidades de asistencia sanitaria y de apoyo social.</w:t>
      </w:r>
    </w:p>
    <w:p w14:paraId="73B3E28F" w14:textId="695210CF" w:rsidR="00711D42" w:rsidRPr="00DB351C" w:rsidRDefault="00EF420E" w:rsidP="00C709DB">
      <w:pPr>
        <w:pStyle w:val="Prrafodelista"/>
        <w:numPr>
          <w:ilvl w:val="0"/>
          <w:numId w:val="2"/>
        </w:numPr>
        <w:jc w:val="both"/>
        <w:rPr>
          <w:rFonts w:ascii="Arial" w:hAnsi="Arial" w:cs="Arial"/>
          <w:sz w:val="24"/>
          <w:szCs w:val="24"/>
        </w:rPr>
      </w:pPr>
      <w:r w:rsidRPr="00C709DB">
        <w:rPr>
          <w:rFonts w:ascii="Arial" w:eastAsia="Times New Roman" w:hAnsi="Arial" w:cs="Arial"/>
          <w:color w:val="505050"/>
          <w:sz w:val="24"/>
          <w:szCs w:val="24"/>
        </w:rPr>
        <w:t>Su abordaje diagnóstico y terapéutico requiere valoración integral, abordaje interdisciplinario y correcto uso de los niveles asistenciales.</w:t>
      </w:r>
    </w:p>
    <w:p w14:paraId="7E98B8EE" w14:textId="139B22DF" w:rsidR="00DB351C" w:rsidRPr="00184426" w:rsidRDefault="009879CC" w:rsidP="00C709DB">
      <w:pPr>
        <w:pStyle w:val="Prrafodelista"/>
        <w:numPr>
          <w:ilvl w:val="0"/>
          <w:numId w:val="2"/>
        </w:numPr>
        <w:jc w:val="both"/>
        <w:rPr>
          <w:rFonts w:ascii="Arial" w:hAnsi="Arial" w:cs="Arial"/>
          <w:sz w:val="24"/>
          <w:szCs w:val="24"/>
        </w:rPr>
      </w:pPr>
      <w:r w:rsidRPr="00C87A60">
        <w:rPr>
          <w:rFonts w:ascii="Arial" w:eastAsia="Times New Roman" w:hAnsi="Arial" w:cs="Arial"/>
          <w:color w:val="505050"/>
          <w:sz w:val="24"/>
          <w:szCs w:val="24"/>
        </w:rPr>
        <w:t>En muchos casos, su aparición es prevenible y si se diagnostican adecuadamente, son susceptibles de tratamiento práctico siempre.</w:t>
      </w:r>
    </w:p>
    <w:p w14:paraId="4C3B11EB" w14:textId="538B20E6" w:rsidR="00184426" w:rsidRDefault="007862B3" w:rsidP="007862B3">
      <w:pPr>
        <w:pStyle w:val="Ttulo2"/>
      </w:pPr>
      <w:r>
        <w:t>Inmovilidad</w:t>
      </w:r>
    </w:p>
    <w:p w14:paraId="2EB31270" w14:textId="77777777" w:rsidR="007862B3" w:rsidRDefault="007862B3" w:rsidP="007862B3"/>
    <w:p w14:paraId="67A82C62" w14:textId="00C1FEE3" w:rsidR="00184426" w:rsidRPr="00E34C9F" w:rsidRDefault="00E93FDE" w:rsidP="00184426">
      <w:pPr>
        <w:ind w:left="360"/>
        <w:jc w:val="both"/>
        <w:rPr>
          <w:rFonts w:ascii="Arial" w:eastAsia="Times New Roman" w:hAnsi="Arial" w:cs="Arial"/>
          <w:color w:val="505050"/>
          <w:sz w:val="24"/>
          <w:szCs w:val="24"/>
        </w:rPr>
      </w:pPr>
      <w:r w:rsidRPr="00E34C9F">
        <w:rPr>
          <w:rFonts w:ascii="Arial" w:eastAsia="Times New Roman" w:hAnsi="Arial" w:cs="Arial"/>
          <w:color w:val="505050"/>
          <w:sz w:val="24"/>
          <w:szCs w:val="24"/>
        </w:rPr>
        <w:t>El síndrome de inmovilidad se define como la restricción, generalmente involuntaria, en la capacidad de transferencia y/o desplazamiento de una persona a causa de problemas físicos, funcionales o psicosociales. Este síndrome es considerado como una vía común, a través de la cual muchas enfermedades y trastornos del adulto mayor producen gran discapacidad.</w:t>
      </w:r>
    </w:p>
    <w:p w14:paraId="2D5BF746" w14:textId="7ABFAEA1" w:rsidR="00E93FDE" w:rsidRPr="00E34C9F" w:rsidRDefault="009A517D" w:rsidP="00184426">
      <w:pPr>
        <w:ind w:left="360"/>
        <w:jc w:val="both"/>
        <w:rPr>
          <w:rFonts w:ascii="Arial" w:eastAsia="Times New Roman" w:hAnsi="Arial" w:cs="Arial"/>
          <w:color w:val="505050"/>
          <w:sz w:val="24"/>
          <w:szCs w:val="24"/>
        </w:rPr>
      </w:pPr>
      <w:r w:rsidRPr="00E34C9F">
        <w:rPr>
          <w:rFonts w:ascii="Arial" w:eastAsia="Times New Roman" w:hAnsi="Arial" w:cs="Arial"/>
          <w:color w:val="505050"/>
          <w:sz w:val="24"/>
          <w:szCs w:val="24"/>
        </w:rPr>
        <w:t>Los problemas de movilidad afectan a casi el 20% de los individuos mayores de 65 años. A partir de los 75 años, aproximadamente el 50% de los ancianos tiene problemas para salir de su casa y un 20% se halla confinado en su domicilio.</w:t>
      </w:r>
    </w:p>
    <w:p w14:paraId="269B47DB" w14:textId="427BB4E7" w:rsidR="009A517D" w:rsidRDefault="00E34C9F" w:rsidP="00184426">
      <w:pPr>
        <w:ind w:left="360"/>
        <w:jc w:val="both"/>
        <w:rPr>
          <w:rFonts w:ascii="Arial" w:eastAsia="Times New Roman" w:hAnsi="Arial" w:cs="Arial"/>
          <w:color w:val="505050"/>
          <w:sz w:val="24"/>
          <w:szCs w:val="24"/>
        </w:rPr>
      </w:pPr>
      <w:r w:rsidRPr="00E34C9F">
        <w:rPr>
          <w:rFonts w:ascii="Arial" w:eastAsia="Times New Roman" w:hAnsi="Arial" w:cs="Arial"/>
          <w:color w:val="505050"/>
          <w:sz w:val="24"/>
          <w:szCs w:val="24"/>
        </w:rPr>
        <w:t xml:space="preserve">La etiología de la inmovilidad es multifactorial, incluyendo causas tan diversas como enfermedades </w:t>
      </w:r>
      <w:proofErr w:type="spellStart"/>
      <w:r w:rsidRPr="00E34C9F">
        <w:rPr>
          <w:rFonts w:ascii="Arial" w:eastAsia="Times New Roman" w:hAnsi="Arial" w:cs="Arial"/>
          <w:color w:val="505050"/>
          <w:sz w:val="24"/>
          <w:szCs w:val="24"/>
        </w:rPr>
        <w:t>osteoarticulares</w:t>
      </w:r>
      <w:proofErr w:type="spellEnd"/>
      <w:r w:rsidRPr="00E34C9F">
        <w:rPr>
          <w:rFonts w:ascii="Arial" w:eastAsia="Times New Roman" w:hAnsi="Arial" w:cs="Arial"/>
          <w:color w:val="505050"/>
          <w:sz w:val="24"/>
          <w:szCs w:val="24"/>
        </w:rPr>
        <w:t xml:space="preserve"> (artrosis, fracturas, patología de los pies, etc.), patología cardiovascular (ictus, cardiopatía, hipotensión </w:t>
      </w:r>
      <w:proofErr w:type="spellStart"/>
      <w:r w:rsidRPr="00E34C9F">
        <w:rPr>
          <w:rFonts w:ascii="Arial" w:eastAsia="Times New Roman" w:hAnsi="Arial" w:cs="Arial"/>
          <w:color w:val="505050"/>
          <w:sz w:val="24"/>
          <w:szCs w:val="24"/>
        </w:rPr>
        <w:t>ortostática</w:t>
      </w:r>
      <w:proofErr w:type="spellEnd"/>
      <w:r w:rsidRPr="00E34C9F">
        <w:rPr>
          <w:rFonts w:ascii="Arial" w:eastAsia="Times New Roman" w:hAnsi="Arial" w:cs="Arial"/>
          <w:color w:val="505050"/>
          <w:sz w:val="24"/>
          <w:szCs w:val="24"/>
        </w:rPr>
        <w:t xml:space="preserve">, diabetes, etc.), trastornos </w:t>
      </w:r>
      <w:proofErr w:type="spellStart"/>
      <w:r w:rsidRPr="00E34C9F">
        <w:rPr>
          <w:rFonts w:ascii="Arial" w:eastAsia="Times New Roman" w:hAnsi="Arial" w:cs="Arial"/>
          <w:color w:val="505050"/>
          <w:sz w:val="24"/>
          <w:szCs w:val="24"/>
        </w:rPr>
        <w:t>neuropsiquiátricos</w:t>
      </w:r>
      <w:proofErr w:type="spellEnd"/>
      <w:r w:rsidRPr="00E34C9F">
        <w:rPr>
          <w:rFonts w:ascii="Arial" w:eastAsia="Times New Roman" w:hAnsi="Arial" w:cs="Arial"/>
          <w:color w:val="505050"/>
          <w:sz w:val="24"/>
          <w:szCs w:val="24"/>
        </w:rPr>
        <w:t xml:space="preserve"> (demencia, enfermedad de Parkinson, depresión, etc.), obstáculos físicos, hospitalización, aislamiento, orden médica y, por supuesto, fármacos (sedantes, opiáceos, neurolépticos, antidepresivos) cuyos efectos secundarios aumentan la fragilidad del anciano.</w:t>
      </w:r>
    </w:p>
    <w:p w14:paraId="1ED7E55A" w14:textId="1117523B" w:rsidR="00E34C9F" w:rsidRPr="00183A2A" w:rsidRDefault="00920D20" w:rsidP="00183A2A">
      <w:pPr>
        <w:ind w:left="360"/>
        <w:jc w:val="both"/>
        <w:rPr>
          <w:rFonts w:ascii="Arial" w:eastAsia="Times New Roman" w:hAnsi="Arial" w:cs="Arial"/>
          <w:color w:val="505050"/>
          <w:sz w:val="24"/>
          <w:szCs w:val="24"/>
        </w:rPr>
      </w:pPr>
      <w:r w:rsidRPr="00183A2A">
        <w:rPr>
          <w:rFonts w:ascii="Arial" w:eastAsia="Times New Roman" w:hAnsi="Arial" w:cs="Arial"/>
          <w:color w:val="505050"/>
          <w:sz w:val="24"/>
          <w:szCs w:val="24"/>
        </w:rPr>
        <w:t>Existe un especial riesgo de inmovilidad en pacientes con afectación de alguno de estos 4 sistemas: muscular, articular, cardiovascular y neurológico. Por tanto, los pacientes diagnosticados de enfermedades que afecten a dichos sistemas deben ser estimulados para mantener un nivel de actividad adecuado a sus circunstancias, y si lo precisan, deben ser incluidos en programas de actividad dirigida, fisioterapia y terapia ocupacional.</w:t>
      </w:r>
    </w:p>
    <w:p w14:paraId="7145F793" w14:textId="5AE68B7D" w:rsidR="00D65616" w:rsidRDefault="00826E14" w:rsidP="00183A2A">
      <w:pPr>
        <w:pStyle w:val="elsevierstylepara"/>
        <w:spacing w:line="450" w:lineRule="atLeast"/>
        <w:jc w:val="both"/>
        <w:divId w:val="578903154"/>
        <w:rPr>
          <w:rFonts w:ascii="Arial" w:hAnsi="Arial" w:cs="Arial"/>
          <w:color w:val="505050"/>
        </w:rPr>
      </w:pPr>
      <w:r>
        <w:rPr>
          <w:rFonts w:ascii="Arial" w:hAnsi="Arial" w:cs="Arial"/>
          <w:color w:val="505050"/>
        </w:rPr>
        <w:t xml:space="preserve">    </w:t>
      </w:r>
      <w:r w:rsidR="00183A2A">
        <w:rPr>
          <w:rFonts w:ascii="Arial" w:hAnsi="Arial" w:cs="Arial"/>
          <w:color w:val="505050"/>
        </w:rPr>
        <w:t xml:space="preserve">Debe </w:t>
      </w:r>
      <w:r w:rsidR="00D65616" w:rsidRPr="00183A2A">
        <w:rPr>
          <w:rFonts w:ascii="Arial" w:hAnsi="Arial" w:cs="Arial"/>
          <w:color w:val="505050"/>
        </w:rPr>
        <w:t xml:space="preserve"> instruirse al anciano y/o a su cuidador sobre las siguientes cuestiones:</w:t>
      </w:r>
    </w:p>
    <w:p w14:paraId="42E07D47" w14:textId="400A211C" w:rsidR="00291EF1" w:rsidRPr="0019058C" w:rsidRDefault="00291EF1" w:rsidP="006F64DF">
      <w:pPr>
        <w:pStyle w:val="elsevierstylepara"/>
        <w:numPr>
          <w:ilvl w:val="0"/>
          <w:numId w:val="4"/>
        </w:numPr>
        <w:spacing w:line="450" w:lineRule="atLeast"/>
        <w:jc w:val="both"/>
        <w:divId w:val="578903154"/>
        <w:rPr>
          <w:rFonts w:ascii="Arial" w:eastAsia="Times New Roman" w:hAnsi="Arial" w:cs="Arial"/>
          <w:color w:val="505050"/>
        </w:rPr>
      </w:pPr>
      <w:r w:rsidRPr="0019058C">
        <w:rPr>
          <w:rFonts w:ascii="Arial" w:eastAsia="Times New Roman" w:hAnsi="Arial" w:cs="Arial"/>
          <w:color w:val="505050"/>
        </w:rPr>
        <w:t>Importancia de realizar ejercicio físico, siempre, obviamente, adaptado a las peculiaridades del anciano.</w:t>
      </w:r>
    </w:p>
    <w:p w14:paraId="2437A6F5" w14:textId="6D1A26BE" w:rsidR="00D65616" w:rsidRPr="0019058C" w:rsidRDefault="00AC34E4" w:rsidP="006F64DF">
      <w:pPr>
        <w:pStyle w:val="elsevierstylepara"/>
        <w:numPr>
          <w:ilvl w:val="0"/>
          <w:numId w:val="4"/>
        </w:numPr>
        <w:spacing w:line="450" w:lineRule="atLeast"/>
        <w:jc w:val="both"/>
        <w:divId w:val="578903154"/>
        <w:rPr>
          <w:rFonts w:ascii="Arial" w:hAnsi="Arial" w:cs="Arial"/>
          <w:color w:val="505050"/>
        </w:rPr>
      </w:pPr>
      <w:r w:rsidRPr="0019058C">
        <w:rPr>
          <w:rFonts w:ascii="Arial" w:eastAsia="Times New Roman" w:hAnsi="Arial" w:cs="Arial"/>
          <w:color w:val="505050"/>
        </w:rPr>
        <w:t>Efectos secundarios de los medicamentos que esté tomando, que puedan afectar a la capacidad de movimiento.</w:t>
      </w:r>
      <w:r w:rsidR="00D65616" w:rsidRPr="0019058C">
        <w:rPr>
          <w:rFonts w:ascii="Arial" w:hAnsi="Arial" w:cs="Arial"/>
          <w:color w:val="505050"/>
        </w:rPr>
        <w:t> </w:t>
      </w:r>
    </w:p>
    <w:p w14:paraId="508ECB3A" w14:textId="7C255B21" w:rsidR="00D65616" w:rsidRPr="0019058C" w:rsidRDefault="00826E14" w:rsidP="006F64DF">
      <w:pPr>
        <w:pStyle w:val="Prrafodelista"/>
        <w:numPr>
          <w:ilvl w:val="0"/>
          <w:numId w:val="4"/>
        </w:numPr>
        <w:jc w:val="both"/>
        <w:rPr>
          <w:rFonts w:ascii="Arial" w:hAnsi="Arial" w:cs="Arial"/>
          <w:sz w:val="24"/>
          <w:szCs w:val="24"/>
        </w:rPr>
      </w:pPr>
      <w:r w:rsidRPr="0019058C">
        <w:rPr>
          <w:rFonts w:ascii="Arial" w:eastAsia="Times New Roman" w:hAnsi="Arial" w:cs="Arial"/>
          <w:color w:val="505050"/>
          <w:sz w:val="24"/>
          <w:szCs w:val="24"/>
        </w:rPr>
        <w:t>Recursos técnicos de movilización (andadores, muletas, etc.), de protección (colchones especiales, etc.), entre otros.</w:t>
      </w:r>
    </w:p>
    <w:p w14:paraId="4613A5AA" w14:textId="6B0BD9B3" w:rsidR="006F64DF" w:rsidRDefault="0019058C" w:rsidP="00D2180D">
      <w:pPr>
        <w:pStyle w:val="Prrafodelista"/>
        <w:numPr>
          <w:ilvl w:val="0"/>
          <w:numId w:val="4"/>
        </w:numPr>
        <w:jc w:val="both"/>
        <w:rPr>
          <w:rFonts w:ascii="Arial" w:hAnsi="Arial" w:cs="Arial"/>
          <w:sz w:val="24"/>
          <w:szCs w:val="24"/>
        </w:rPr>
      </w:pPr>
      <w:r w:rsidRPr="00A52C3B">
        <w:rPr>
          <w:rFonts w:ascii="Arial" w:eastAsia="Times New Roman" w:hAnsi="Arial" w:cs="Arial"/>
          <w:color w:val="505050"/>
          <w:sz w:val="24"/>
          <w:szCs w:val="24"/>
        </w:rPr>
        <w:t>Cómo y cuándo realizar cambios de posición.</w:t>
      </w:r>
    </w:p>
    <w:p w14:paraId="0F8DA8CB" w14:textId="77777777" w:rsidR="00A52C3B" w:rsidRPr="00A52C3B" w:rsidRDefault="00A52C3B" w:rsidP="00A52C3B">
      <w:pPr>
        <w:pStyle w:val="Ttulo2"/>
      </w:pPr>
    </w:p>
    <w:p w14:paraId="67B64D32" w14:textId="4F4F1359" w:rsidR="006F64DF" w:rsidRDefault="00A52C3B" w:rsidP="00A52C3B">
      <w:pPr>
        <w:pStyle w:val="Ttulo2"/>
      </w:pPr>
      <w:r>
        <w:t>Caídas</w:t>
      </w:r>
    </w:p>
    <w:p w14:paraId="2F35CF3A" w14:textId="77777777" w:rsidR="00F057EE" w:rsidRPr="0059420C" w:rsidRDefault="00F057EE" w:rsidP="00A52C3B">
      <w:pPr>
        <w:rPr>
          <w:rFonts w:ascii="Arial" w:eastAsia="Times New Roman" w:hAnsi="Arial" w:cs="Arial"/>
          <w:color w:val="505050"/>
          <w:sz w:val="24"/>
          <w:szCs w:val="24"/>
        </w:rPr>
      </w:pPr>
      <w:r w:rsidRPr="0059420C">
        <w:rPr>
          <w:rFonts w:ascii="Arial" w:eastAsia="Times New Roman" w:hAnsi="Arial" w:cs="Arial"/>
          <w:color w:val="505050"/>
          <w:sz w:val="24"/>
          <w:szCs w:val="24"/>
        </w:rPr>
        <w:t>La caída se define como la precipitación repentina al suelo, que se produce de forma involuntaria, y que puede acompañarse o no, de pérdida de conciencia. Epidemiológicamente, los accidentes son la sexta causa de mortalidad en personas mayores de 75 años, y de éstos, las caídas son la principal causa. El riesgo es mayor en ancianos hospitalizados, sobre todo en la etapa inmediatamente posterior a su ingreso, debido al rechazo a una actitud sobreprotectora.</w:t>
      </w:r>
    </w:p>
    <w:p w14:paraId="255DAA89" w14:textId="00E6E46C" w:rsidR="006F64DF" w:rsidRDefault="00A52C3B" w:rsidP="00CB7A23">
      <w:pPr>
        <w:rPr>
          <w:rFonts w:ascii="Arial" w:hAnsi="Arial" w:cs="Arial"/>
          <w:sz w:val="24"/>
          <w:szCs w:val="24"/>
        </w:rPr>
      </w:pPr>
      <w:r w:rsidRPr="0059420C">
        <w:rPr>
          <w:rFonts w:ascii="Arial" w:hAnsi="Arial" w:cs="Arial"/>
          <w:sz w:val="24"/>
          <w:szCs w:val="24"/>
        </w:rPr>
        <w:t xml:space="preserve"> </w:t>
      </w:r>
      <w:r w:rsidR="002C758D" w:rsidRPr="0090510A">
        <w:rPr>
          <w:rFonts w:ascii="Arial" w:eastAsia="Times New Roman" w:hAnsi="Arial" w:cs="Arial"/>
          <w:color w:val="505050"/>
          <w:sz w:val="24"/>
          <w:szCs w:val="24"/>
        </w:rPr>
        <w:t xml:space="preserve">El origen de este síndrome es también multifactorial: enfermedad </w:t>
      </w:r>
      <w:proofErr w:type="spellStart"/>
      <w:r w:rsidR="002C758D" w:rsidRPr="0090510A">
        <w:rPr>
          <w:rFonts w:ascii="Arial" w:eastAsia="Times New Roman" w:hAnsi="Arial" w:cs="Arial"/>
          <w:color w:val="505050"/>
          <w:sz w:val="24"/>
          <w:szCs w:val="24"/>
        </w:rPr>
        <w:t>osteoarticular</w:t>
      </w:r>
      <w:proofErr w:type="spellEnd"/>
      <w:r w:rsidR="002C758D" w:rsidRPr="0090510A">
        <w:rPr>
          <w:rFonts w:ascii="Arial" w:eastAsia="Times New Roman" w:hAnsi="Arial" w:cs="Arial"/>
          <w:color w:val="505050"/>
          <w:sz w:val="24"/>
          <w:szCs w:val="24"/>
        </w:rPr>
        <w:t xml:space="preserve">, cardiovascular, </w:t>
      </w:r>
      <w:proofErr w:type="spellStart"/>
      <w:r w:rsidR="002C758D" w:rsidRPr="0090510A">
        <w:rPr>
          <w:rFonts w:ascii="Arial" w:eastAsia="Times New Roman" w:hAnsi="Arial" w:cs="Arial"/>
          <w:color w:val="505050"/>
          <w:sz w:val="24"/>
          <w:szCs w:val="24"/>
        </w:rPr>
        <w:t>neuropsiquiátrica</w:t>
      </w:r>
      <w:proofErr w:type="spellEnd"/>
      <w:r w:rsidR="002C758D" w:rsidRPr="0090510A">
        <w:rPr>
          <w:rFonts w:ascii="Arial" w:eastAsia="Times New Roman" w:hAnsi="Arial" w:cs="Arial"/>
          <w:color w:val="505050"/>
          <w:sz w:val="24"/>
          <w:szCs w:val="24"/>
        </w:rPr>
        <w:t>, causas extrínsecas (obstáculos físicos, calzado, domicilio, escaleras, etc.) y efectos secundarios de ciertos fármacos, principalmente.</w:t>
      </w:r>
    </w:p>
    <w:p w14:paraId="34D5C420" w14:textId="75E41D86" w:rsidR="00CB7A23" w:rsidRDefault="00CB7A23" w:rsidP="00CB7A23">
      <w:pPr>
        <w:rPr>
          <w:rFonts w:ascii="NexusSansPro" w:eastAsia="Times New Roman" w:hAnsi="NexusSansPro"/>
          <w:color w:val="505050"/>
          <w:sz w:val="30"/>
          <w:szCs w:val="30"/>
        </w:rPr>
      </w:pPr>
      <w:r w:rsidRPr="00E677A0">
        <w:rPr>
          <w:rFonts w:ascii="Arial" w:eastAsia="Times New Roman" w:hAnsi="Arial" w:cs="Arial"/>
          <w:color w:val="505050"/>
          <w:sz w:val="24"/>
          <w:szCs w:val="24"/>
        </w:rPr>
        <w:t xml:space="preserve">Los factores de riesgo más importantes para la aparición de este síndrome incluyen: debilidad muscular, alteraciones de la marcha y el equilibrio, deterioro de las funciones mentales, deterioro en las actividades de la vida diaria y </w:t>
      </w:r>
      <w:proofErr w:type="spellStart"/>
      <w:r w:rsidRPr="00E677A0">
        <w:rPr>
          <w:rFonts w:ascii="Arial" w:eastAsia="Times New Roman" w:hAnsi="Arial" w:cs="Arial"/>
          <w:color w:val="505050"/>
          <w:sz w:val="24"/>
          <w:szCs w:val="24"/>
        </w:rPr>
        <w:t>polimedicación</w:t>
      </w:r>
      <w:proofErr w:type="spellEnd"/>
      <w:r>
        <w:rPr>
          <w:rFonts w:ascii="NexusSansPro" w:eastAsia="Times New Roman" w:hAnsi="NexusSansPro"/>
          <w:color w:val="505050"/>
          <w:sz w:val="30"/>
          <w:szCs w:val="30"/>
        </w:rPr>
        <w:t>.</w:t>
      </w:r>
    </w:p>
    <w:p w14:paraId="4B4D8A2D" w14:textId="68BCD84F" w:rsidR="00AB2BE7" w:rsidRDefault="00AB2BE7" w:rsidP="00CB7A23">
      <w:pPr>
        <w:rPr>
          <w:rFonts w:ascii="Arial" w:eastAsia="Times New Roman" w:hAnsi="Arial" w:cs="Arial"/>
          <w:color w:val="505050"/>
          <w:sz w:val="24"/>
          <w:szCs w:val="24"/>
        </w:rPr>
      </w:pPr>
      <w:r w:rsidRPr="00432E2B">
        <w:rPr>
          <w:rFonts w:ascii="Arial" w:eastAsia="Times New Roman" w:hAnsi="Arial" w:cs="Arial"/>
          <w:color w:val="505050"/>
          <w:sz w:val="24"/>
          <w:szCs w:val="24"/>
        </w:rPr>
        <w:t>Las consecuencias de este síndrome pueden clasificarse en inmediatas y tardías. Las primeras incluyen:</w:t>
      </w:r>
    </w:p>
    <w:p w14:paraId="2FC34E61" w14:textId="57728356" w:rsidR="00432E2B" w:rsidRPr="00415227" w:rsidRDefault="0035405A" w:rsidP="0035405A">
      <w:pPr>
        <w:pStyle w:val="Prrafodelista"/>
        <w:numPr>
          <w:ilvl w:val="0"/>
          <w:numId w:val="5"/>
        </w:numPr>
        <w:rPr>
          <w:rFonts w:ascii="Arial" w:hAnsi="Arial" w:cs="Arial"/>
          <w:sz w:val="24"/>
          <w:szCs w:val="24"/>
        </w:rPr>
      </w:pPr>
      <w:r w:rsidRPr="00415227">
        <w:rPr>
          <w:rFonts w:ascii="Arial" w:eastAsia="Times New Roman" w:hAnsi="Arial" w:cs="Arial"/>
          <w:color w:val="505050"/>
          <w:sz w:val="24"/>
          <w:szCs w:val="24"/>
        </w:rPr>
        <w:t>Lesiones menores en partes blandas y fracturas, que son más frecuentes en la cadera, el fémur, el húmero, las muñecas y las costillas; también se debe considerar la posibilidad de un hematoma subdural, después de un deterioro cognitivo no explicable.</w:t>
      </w:r>
    </w:p>
    <w:p w14:paraId="5F2557E7" w14:textId="322C1361" w:rsidR="0035405A" w:rsidRPr="00415227" w:rsidRDefault="00286B6E" w:rsidP="0035405A">
      <w:pPr>
        <w:pStyle w:val="Prrafodelista"/>
        <w:numPr>
          <w:ilvl w:val="0"/>
          <w:numId w:val="5"/>
        </w:numPr>
        <w:rPr>
          <w:rFonts w:ascii="Arial" w:hAnsi="Arial" w:cs="Arial"/>
          <w:sz w:val="24"/>
          <w:szCs w:val="24"/>
        </w:rPr>
      </w:pPr>
      <w:r w:rsidRPr="00415227">
        <w:rPr>
          <w:rFonts w:ascii="Arial" w:eastAsia="Times New Roman" w:hAnsi="Arial" w:cs="Arial"/>
          <w:color w:val="505050"/>
          <w:sz w:val="24"/>
          <w:szCs w:val="24"/>
        </w:rPr>
        <w:t>La dificultad para levantarse se produce en el 50% de los casos, y el 10% permanece en el suelo más de una hora, lo cual puede provocar deshidratación, infecciones y trastornos psicológicos, y en algunos puede producirse un cuadro de hipotermia, capaz de generar la muerte en el 90% de los casos.</w:t>
      </w:r>
    </w:p>
    <w:p w14:paraId="3017F2F1" w14:textId="77777777" w:rsidR="0003766A" w:rsidRPr="00415227" w:rsidRDefault="005A4181" w:rsidP="0003766A">
      <w:pPr>
        <w:pStyle w:val="elsevierstylepara"/>
        <w:spacing w:line="450" w:lineRule="atLeast"/>
        <w:jc w:val="both"/>
        <w:divId w:val="306396799"/>
        <w:rPr>
          <w:rFonts w:ascii="Arial" w:hAnsi="Arial" w:cs="Arial"/>
          <w:color w:val="505050"/>
        </w:rPr>
      </w:pPr>
      <w:r w:rsidRPr="00415227">
        <w:rPr>
          <w:rFonts w:ascii="Arial" w:hAnsi="Arial" w:cs="Arial"/>
          <w:color w:val="505050"/>
        </w:rPr>
        <w:t>Las consecuencias tardías comprenden</w:t>
      </w:r>
      <w:r w:rsidR="0003766A" w:rsidRPr="00415227">
        <w:rPr>
          <w:rFonts w:ascii="Arial" w:hAnsi="Arial" w:cs="Arial"/>
          <w:color w:val="505050"/>
        </w:rPr>
        <w:t>:</w:t>
      </w:r>
    </w:p>
    <w:p w14:paraId="68A110D5" w14:textId="3C427C94" w:rsidR="005A4181" w:rsidRPr="00415227" w:rsidRDefault="0003766A" w:rsidP="0003766A">
      <w:pPr>
        <w:pStyle w:val="elsevierstylepara"/>
        <w:numPr>
          <w:ilvl w:val="0"/>
          <w:numId w:val="8"/>
        </w:numPr>
        <w:spacing w:line="450" w:lineRule="atLeast"/>
        <w:jc w:val="both"/>
        <w:divId w:val="306396799"/>
        <w:rPr>
          <w:rFonts w:ascii="Arial" w:hAnsi="Arial" w:cs="Arial"/>
          <w:color w:val="505050"/>
        </w:rPr>
      </w:pPr>
      <w:r w:rsidRPr="00415227">
        <w:rPr>
          <w:rFonts w:ascii="Arial" w:eastAsia="Times New Roman" w:hAnsi="Arial" w:cs="Arial"/>
          <w:color w:val="505050"/>
        </w:rPr>
        <w:t>Limitación funcional que puede llevar a la inmovilidad con todas sus complicaciones.</w:t>
      </w:r>
    </w:p>
    <w:p w14:paraId="5DB2151A" w14:textId="6DBBCE91" w:rsidR="0003766A" w:rsidRPr="00017550" w:rsidRDefault="00415227" w:rsidP="0003766A">
      <w:pPr>
        <w:pStyle w:val="elsevierstylepara"/>
        <w:numPr>
          <w:ilvl w:val="0"/>
          <w:numId w:val="8"/>
        </w:numPr>
        <w:spacing w:line="450" w:lineRule="atLeast"/>
        <w:jc w:val="both"/>
        <w:divId w:val="306396799"/>
        <w:rPr>
          <w:rFonts w:ascii="Arial" w:hAnsi="Arial" w:cs="Arial"/>
          <w:color w:val="505050"/>
        </w:rPr>
      </w:pPr>
      <w:r w:rsidRPr="00415227">
        <w:rPr>
          <w:rFonts w:ascii="Arial" w:eastAsia="Times New Roman" w:hAnsi="Arial" w:cs="Arial"/>
          <w:color w:val="505050"/>
        </w:rPr>
        <w:t>Síndrome poscaída, caracterizado por la falta de confianza del paciente en sí mismo, por miedo a volver a caerse y restricción de la deambulación, ya sea por él mismo o por sus cuidadores, llegando al aislamiento y a la depresión</w:t>
      </w:r>
    </w:p>
    <w:p w14:paraId="6D1DAF84" w14:textId="5B34E6ED" w:rsidR="00017550" w:rsidRDefault="00503D6F" w:rsidP="00017550">
      <w:pPr>
        <w:pStyle w:val="elsevierstylepara"/>
        <w:spacing w:line="450" w:lineRule="atLeast"/>
        <w:ind w:left="360"/>
        <w:jc w:val="both"/>
        <w:divId w:val="306396799"/>
        <w:rPr>
          <w:rFonts w:ascii="Arial" w:eastAsia="Times New Roman" w:hAnsi="Arial" w:cs="Arial"/>
          <w:color w:val="505050"/>
        </w:rPr>
      </w:pPr>
      <w:r>
        <w:rPr>
          <w:rFonts w:ascii="Arial" w:eastAsia="Times New Roman" w:hAnsi="Arial" w:cs="Arial"/>
          <w:color w:val="505050"/>
        </w:rPr>
        <w:t>En el</w:t>
      </w:r>
      <w:r w:rsidR="00BF4615">
        <w:rPr>
          <w:rFonts w:ascii="Arial" w:eastAsia="Times New Roman" w:hAnsi="Arial" w:cs="Arial"/>
          <w:color w:val="505050"/>
        </w:rPr>
        <w:t xml:space="preserve"> </w:t>
      </w:r>
      <w:r w:rsidR="001A0B40" w:rsidRPr="006D6016">
        <w:rPr>
          <w:rFonts w:ascii="Arial" w:eastAsia="Times New Roman" w:hAnsi="Arial" w:cs="Arial"/>
          <w:color w:val="505050"/>
        </w:rPr>
        <w:t>tratamiento y prevención del síndrome de inestabilidad-caídas, es preciso, poner remedio a las consecuencias agudas que derivan de la caída y las enfermedades subyacentes; sin embargo, lo más importante es prevenir las caídas sin limitar la movilidad, la independencia y las actividades de la vida diaria.</w:t>
      </w:r>
    </w:p>
    <w:p w14:paraId="014FC223" w14:textId="77777777" w:rsidR="006D6016" w:rsidRPr="006D6016" w:rsidRDefault="006D6016" w:rsidP="006D6016">
      <w:pPr>
        <w:pStyle w:val="Ttulo2"/>
        <w:divId w:val="306396799"/>
      </w:pPr>
    </w:p>
    <w:p w14:paraId="5FF03060" w14:textId="123030C8" w:rsidR="005A4181" w:rsidRDefault="00972C12" w:rsidP="00972C12">
      <w:pPr>
        <w:pStyle w:val="Ttulo2"/>
      </w:pPr>
      <w:r>
        <w:t>Incontinencia urinaria</w:t>
      </w:r>
    </w:p>
    <w:p w14:paraId="5DCC1D54" w14:textId="7A8E13F3" w:rsidR="00972C12" w:rsidRDefault="00972C12" w:rsidP="00972C12"/>
    <w:p w14:paraId="37A05BD2" w14:textId="492CB6D8" w:rsidR="00972C12" w:rsidRDefault="00503D6F" w:rsidP="00BF4615">
      <w:pPr>
        <w:jc w:val="both"/>
        <w:rPr>
          <w:rFonts w:ascii="Arial" w:eastAsia="Times New Roman" w:hAnsi="Arial" w:cs="Arial"/>
          <w:color w:val="505050"/>
          <w:sz w:val="24"/>
          <w:szCs w:val="24"/>
        </w:rPr>
      </w:pPr>
      <w:r w:rsidRPr="00135560">
        <w:rPr>
          <w:rFonts w:ascii="Arial" w:eastAsia="Times New Roman" w:hAnsi="Arial" w:cs="Arial"/>
          <w:color w:val="505050"/>
          <w:sz w:val="24"/>
          <w:szCs w:val="24"/>
        </w:rPr>
        <w:t>La incontinencia urinaria se define como la pérdida involuntaria de orina, que es objetivamente demostrable y que constituye un problema social e higiénico. Su prevalencia aumenta con la edad, afectando al 60% de los ancianos hospitalizados y a casi el 50% de los ingresados en instituciones geriátricas, a diferencia de los que viven en la comunidad, para los cuales se han reportado cifras de prevalencia que oscilan entre el 10% y el 25%</w:t>
      </w:r>
      <w:r w:rsidR="00BF4615">
        <w:rPr>
          <w:rFonts w:ascii="Arial" w:eastAsia="Times New Roman" w:hAnsi="Arial" w:cs="Arial"/>
          <w:color w:val="505050"/>
          <w:sz w:val="24"/>
          <w:szCs w:val="24"/>
        </w:rPr>
        <w:t>.</w:t>
      </w:r>
    </w:p>
    <w:p w14:paraId="6F43A646" w14:textId="31A4045E" w:rsidR="00135560" w:rsidRPr="006B23BD" w:rsidRDefault="000827C4" w:rsidP="00BF4615">
      <w:pPr>
        <w:jc w:val="both"/>
        <w:rPr>
          <w:rFonts w:ascii="Arial" w:eastAsia="Times New Roman" w:hAnsi="Arial" w:cs="Arial"/>
          <w:color w:val="505050"/>
          <w:sz w:val="24"/>
          <w:szCs w:val="24"/>
        </w:rPr>
      </w:pPr>
      <w:r w:rsidRPr="006B23BD">
        <w:rPr>
          <w:rFonts w:ascii="Arial" w:eastAsia="Times New Roman" w:hAnsi="Arial" w:cs="Arial"/>
          <w:color w:val="505050"/>
          <w:sz w:val="24"/>
          <w:szCs w:val="24"/>
        </w:rPr>
        <w:t>En función de su frecuencia, se distingue entre incontinencia aguda o pasajera, cuya duración oscila entre 3 y 4 semanas, e incontinencia persistente o crónica, con una duración superior a 4 semanas.</w:t>
      </w:r>
    </w:p>
    <w:p w14:paraId="7C48468A" w14:textId="5A2FB061" w:rsidR="000827C4" w:rsidRDefault="006B23BD" w:rsidP="00BF4615">
      <w:pPr>
        <w:jc w:val="both"/>
        <w:rPr>
          <w:rFonts w:ascii="Arial" w:eastAsia="Times New Roman" w:hAnsi="Arial" w:cs="Arial"/>
          <w:color w:val="505050"/>
          <w:sz w:val="24"/>
          <w:szCs w:val="24"/>
        </w:rPr>
      </w:pPr>
      <w:r w:rsidRPr="006B23BD">
        <w:rPr>
          <w:rFonts w:ascii="Arial" w:eastAsia="Times New Roman" w:hAnsi="Arial" w:cs="Arial"/>
          <w:color w:val="505050"/>
          <w:sz w:val="24"/>
          <w:szCs w:val="24"/>
        </w:rPr>
        <w:t xml:space="preserve">Al igual que en otros síndromes geriátricos, su etiología es multifactorial; así pues, causas como infecciones genitourinarias, delirio u otros estados </w:t>
      </w:r>
      <w:proofErr w:type="spellStart"/>
      <w:r w:rsidRPr="006B23BD">
        <w:rPr>
          <w:rFonts w:ascii="Arial" w:eastAsia="Times New Roman" w:hAnsi="Arial" w:cs="Arial"/>
          <w:color w:val="505050"/>
          <w:sz w:val="24"/>
          <w:szCs w:val="24"/>
        </w:rPr>
        <w:t>confusionales</w:t>
      </w:r>
      <w:proofErr w:type="spellEnd"/>
      <w:r w:rsidRPr="006B23BD">
        <w:rPr>
          <w:rFonts w:ascii="Arial" w:eastAsia="Times New Roman" w:hAnsi="Arial" w:cs="Arial"/>
          <w:color w:val="505050"/>
          <w:sz w:val="24"/>
          <w:szCs w:val="24"/>
        </w:rPr>
        <w:t xml:space="preserve">, determinados tratamientos farmacológicos, alteraciones psicológicas, movilidad limitada o </w:t>
      </w:r>
      <w:proofErr w:type="spellStart"/>
      <w:r w:rsidRPr="006B23BD">
        <w:rPr>
          <w:rFonts w:ascii="Arial" w:eastAsia="Times New Roman" w:hAnsi="Arial" w:cs="Arial"/>
          <w:color w:val="505050"/>
          <w:sz w:val="24"/>
          <w:szCs w:val="24"/>
        </w:rPr>
        <w:t>impactación</w:t>
      </w:r>
      <w:proofErr w:type="spellEnd"/>
      <w:r w:rsidRPr="006B23BD">
        <w:rPr>
          <w:rFonts w:ascii="Arial" w:eastAsia="Times New Roman" w:hAnsi="Arial" w:cs="Arial"/>
          <w:color w:val="505050"/>
          <w:sz w:val="24"/>
          <w:szCs w:val="24"/>
        </w:rPr>
        <w:t xml:space="preserve"> fecal pueden dar lugar a una incontinencia transitoria, mientras que otros factores como lesiones medulares, debilidad del suelo pélvico, incompetencia del esfínter uretral, vejiga </w:t>
      </w:r>
      <w:proofErr w:type="spellStart"/>
      <w:r w:rsidRPr="006B23BD">
        <w:rPr>
          <w:rFonts w:ascii="Arial" w:eastAsia="Times New Roman" w:hAnsi="Arial" w:cs="Arial"/>
          <w:color w:val="505050"/>
          <w:sz w:val="24"/>
          <w:szCs w:val="24"/>
        </w:rPr>
        <w:t>acontráctil</w:t>
      </w:r>
      <w:proofErr w:type="spellEnd"/>
      <w:r w:rsidRPr="006B23BD">
        <w:rPr>
          <w:rFonts w:ascii="Arial" w:eastAsia="Times New Roman" w:hAnsi="Arial" w:cs="Arial"/>
          <w:color w:val="505050"/>
          <w:sz w:val="24"/>
          <w:szCs w:val="24"/>
        </w:rPr>
        <w:t>, hipertrofia prostática, deterioro cognitivo u otras causas funcionales pueden generar una incontinencia más o menos persistente.</w:t>
      </w:r>
    </w:p>
    <w:p w14:paraId="728E5D6A" w14:textId="73FEE758" w:rsidR="006B23BD" w:rsidRDefault="008814D0" w:rsidP="00BF4615">
      <w:pPr>
        <w:jc w:val="both"/>
        <w:rPr>
          <w:rFonts w:ascii="NexusSansPro" w:eastAsia="Times New Roman" w:hAnsi="NexusSansPro"/>
          <w:color w:val="505050"/>
          <w:sz w:val="30"/>
          <w:szCs w:val="30"/>
        </w:rPr>
      </w:pPr>
      <w:r w:rsidRPr="00B16E9B">
        <w:rPr>
          <w:rFonts w:ascii="Arial" w:eastAsia="Times New Roman" w:hAnsi="Arial" w:cs="Arial"/>
          <w:color w:val="505050"/>
          <w:sz w:val="24"/>
          <w:szCs w:val="24"/>
        </w:rPr>
        <w:t xml:space="preserve">Las consecuencias de este síndrome son múltiples y graves: infecciones urinarias, úlceras cutáneas, caídas, depresión y pérdida de autoestima, aislamiento social, dependencia, institucionalización y elevado consumo de recursos </w:t>
      </w:r>
      <w:proofErr w:type="spellStart"/>
      <w:r w:rsidRPr="00B16E9B">
        <w:rPr>
          <w:rFonts w:ascii="Arial" w:eastAsia="Times New Roman" w:hAnsi="Arial" w:cs="Arial"/>
          <w:color w:val="505050"/>
          <w:sz w:val="24"/>
          <w:szCs w:val="24"/>
        </w:rPr>
        <w:t>sociosanitarios</w:t>
      </w:r>
      <w:proofErr w:type="spellEnd"/>
      <w:r>
        <w:rPr>
          <w:rFonts w:ascii="NexusSansPro" w:eastAsia="Times New Roman" w:hAnsi="NexusSansPro"/>
          <w:color w:val="505050"/>
          <w:sz w:val="30"/>
          <w:szCs w:val="30"/>
        </w:rPr>
        <w:t>.</w:t>
      </w:r>
    </w:p>
    <w:p w14:paraId="14FE018C" w14:textId="60D2CCEA" w:rsidR="00FD1965" w:rsidRPr="00F4349D" w:rsidRDefault="00FD1965" w:rsidP="00BF4615">
      <w:pPr>
        <w:jc w:val="both"/>
        <w:rPr>
          <w:rFonts w:ascii="Arial" w:eastAsia="Times New Roman" w:hAnsi="Arial" w:cs="Arial"/>
          <w:color w:val="505050"/>
          <w:sz w:val="24"/>
          <w:szCs w:val="24"/>
        </w:rPr>
      </w:pPr>
      <w:r w:rsidRPr="00F4349D">
        <w:rPr>
          <w:rFonts w:ascii="Arial" w:eastAsia="Times New Roman" w:hAnsi="Arial" w:cs="Arial"/>
          <w:color w:val="505050"/>
          <w:sz w:val="24"/>
          <w:szCs w:val="24"/>
        </w:rPr>
        <w:t xml:space="preserve">El tratamiento incluye diversas opciones terapéuticas: ejercicios para fortalecer la musculatura del suelo pélvico (ejercicios de </w:t>
      </w:r>
      <w:proofErr w:type="spellStart"/>
      <w:r w:rsidRPr="00F4349D">
        <w:rPr>
          <w:rFonts w:ascii="Arial" w:eastAsia="Times New Roman" w:hAnsi="Arial" w:cs="Arial"/>
          <w:color w:val="505050"/>
          <w:sz w:val="24"/>
          <w:szCs w:val="24"/>
        </w:rPr>
        <w:t>Kegel</w:t>
      </w:r>
      <w:proofErr w:type="spellEnd"/>
      <w:r w:rsidRPr="00F4349D">
        <w:rPr>
          <w:rFonts w:ascii="Arial" w:eastAsia="Times New Roman" w:hAnsi="Arial" w:cs="Arial"/>
          <w:color w:val="505050"/>
          <w:sz w:val="24"/>
          <w:szCs w:val="24"/>
        </w:rPr>
        <w:t xml:space="preserve"> o conos vaginales), farmacoterapia o procedimientos quirúrgicos, en función del origen o tipo de incontinencia.</w:t>
      </w:r>
    </w:p>
    <w:p w14:paraId="120C0F18" w14:textId="218D7B5A" w:rsidR="00FD1965" w:rsidRDefault="00212E24" w:rsidP="00BF4615">
      <w:pPr>
        <w:jc w:val="both"/>
        <w:rPr>
          <w:rFonts w:ascii="Arial" w:eastAsia="Times New Roman" w:hAnsi="Arial" w:cs="Arial"/>
          <w:color w:val="505050"/>
          <w:sz w:val="24"/>
          <w:szCs w:val="24"/>
        </w:rPr>
      </w:pPr>
      <w:r w:rsidRPr="009700C5">
        <w:rPr>
          <w:rFonts w:ascii="Arial" w:eastAsia="Times New Roman" w:hAnsi="Arial" w:cs="Arial"/>
          <w:color w:val="505050"/>
          <w:sz w:val="24"/>
          <w:szCs w:val="24"/>
        </w:rPr>
        <w:t>La prevención de la incontinencia urinaria debería iniciarse en edades anteriores a la vejez. El primer paso en las actividades preventivas es concienciar a los propios profesionales de la salud y a los pacientes de que la incontinencia no es una situación normal, por lo que precisa diagnóstico y tratamiento.</w:t>
      </w:r>
    </w:p>
    <w:p w14:paraId="4BC1E4B7" w14:textId="610056D7" w:rsidR="009700C5" w:rsidRDefault="00F61906" w:rsidP="00F61906">
      <w:pPr>
        <w:pStyle w:val="Ttulo2"/>
      </w:pPr>
      <w:r>
        <w:t>Deterioro cognitivo</w:t>
      </w:r>
    </w:p>
    <w:p w14:paraId="65105D0E" w14:textId="17C1483A" w:rsidR="00F61906" w:rsidRDefault="00F61906" w:rsidP="00F61906"/>
    <w:p w14:paraId="7C595EBF" w14:textId="7B50C5F1" w:rsidR="00F61906" w:rsidRPr="006D6535" w:rsidRDefault="00CD7F22" w:rsidP="00F61906">
      <w:pPr>
        <w:rPr>
          <w:rFonts w:ascii="Arial" w:eastAsia="Times New Roman" w:hAnsi="Arial" w:cs="Arial"/>
          <w:color w:val="505050"/>
          <w:sz w:val="24"/>
          <w:szCs w:val="24"/>
        </w:rPr>
      </w:pPr>
      <w:r w:rsidRPr="006D6535">
        <w:rPr>
          <w:rFonts w:ascii="Arial" w:eastAsia="Times New Roman" w:hAnsi="Arial" w:cs="Arial"/>
          <w:color w:val="505050"/>
          <w:sz w:val="24"/>
          <w:szCs w:val="24"/>
        </w:rPr>
        <w:t>El deterioro cognitivo se define como una pérdida o reducción, temporal o permanente, de varias funciones mentales superiores, en personas que las conservaban intactas previamente.</w:t>
      </w:r>
    </w:p>
    <w:p w14:paraId="7EAE1C22" w14:textId="116497F4" w:rsidR="00CD7F22" w:rsidRDefault="006D6535" w:rsidP="00F61906">
      <w:pPr>
        <w:rPr>
          <w:rFonts w:ascii="Arial" w:eastAsia="Times New Roman" w:hAnsi="Arial" w:cs="Arial"/>
          <w:color w:val="505050"/>
          <w:sz w:val="24"/>
          <w:szCs w:val="24"/>
        </w:rPr>
      </w:pPr>
      <w:r w:rsidRPr="006D6535">
        <w:rPr>
          <w:rFonts w:ascii="Arial" w:eastAsia="Times New Roman" w:hAnsi="Arial" w:cs="Arial"/>
          <w:color w:val="505050"/>
          <w:sz w:val="24"/>
          <w:szCs w:val="24"/>
        </w:rPr>
        <w:t xml:space="preserve">Esta definición incluye cuadros muy definidos como el síndrome </w:t>
      </w:r>
      <w:proofErr w:type="spellStart"/>
      <w:r w:rsidRPr="006D6535">
        <w:rPr>
          <w:rFonts w:ascii="Arial" w:eastAsia="Times New Roman" w:hAnsi="Arial" w:cs="Arial"/>
          <w:color w:val="505050"/>
          <w:sz w:val="24"/>
          <w:szCs w:val="24"/>
        </w:rPr>
        <w:t>confusional</w:t>
      </w:r>
      <w:proofErr w:type="spellEnd"/>
      <w:r w:rsidRPr="006D6535">
        <w:rPr>
          <w:rFonts w:ascii="Arial" w:eastAsia="Times New Roman" w:hAnsi="Arial" w:cs="Arial"/>
          <w:color w:val="505050"/>
          <w:sz w:val="24"/>
          <w:szCs w:val="24"/>
        </w:rPr>
        <w:t xml:space="preserve"> agudo (secundario a infecciones, anemia, patología que afecta a cualquier sistema, ingresos hospitalarios, cambio de domicilio, etc.), o como la demencia de diferentes causas (enfermedad de Alzheimer, etiología vascular, formas mixtas, enfermedad por cuerpos de </w:t>
      </w:r>
      <w:proofErr w:type="spellStart"/>
      <w:r w:rsidRPr="006D6535">
        <w:rPr>
          <w:rFonts w:ascii="Arial" w:eastAsia="Times New Roman" w:hAnsi="Arial" w:cs="Arial"/>
          <w:color w:val="505050"/>
          <w:sz w:val="24"/>
          <w:szCs w:val="24"/>
        </w:rPr>
        <w:t>Lewy</w:t>
      </w:r>
      <w:proofErr w:type="spellEnd"/>
      <w:r w:rsidRPr="006D6535">
        <w:rPr>
          <w:rFonts w:ascii="Arial" w:eastAsia="Times New Roman" w:hAnsi="Arial" w:cs="Arial"/>
          <w:color w:val="505050"/>
          <w:sz w:val="24"/>
          <w:szCs w:val="24"/>
        </w:rPr>
        <w:t>, etc.); pero también engloba otros cuadros no tan definidos, vinculados o no a problemas de salud, que habitualmente se conocen como trastorno cognitivo asociado a la edad, deterioro cognitivo leve, etc.</w:t>
      </w:r>
    </w:p>
    <w:p w14:paraId="5B2622A3" w14:textId="57BD8CB4" w:rsidR="00C61941" w:rsidRPr="00782216" w:rsidRDefault="00C61941" w:rsidP="00F61906">
      <w:pPr>
        <w:rPr>
          <w:rFonts w:ascii="Arial" w:eastAsia="Times New Roman" w:hAnsi="Arial" w:cs="Arial"/>
          <w:color w:val="505050"/>
          <w:sz w:val="24"/>
          <w:szCs w:val="24"/>
        </w:rPr>
      </w:pPr>
      <w:r w:rsidRPr="00782216">
        <w:rPr>
          <w:rFonts w:ascii="Arial" w:eastAsia="Times New Roman" w:hAnsi="Arial" w:cs="Arial"/>
          <w:color w:val="505050"/>
          <w:sz w:val="24"/>
          <w:szCs w:val="24"/>
        </w:rPr>
        <w:t>La frecuencia del deterioro cognitivo varía ampliamente de unos colectivos a otros; así, en los ancianos que viven en la comunidad, afecta a un 15% de los mayores de 65 años, incrementándose su frecuencia en función de la edad, de modo que en personas que superan los 80 años, su frecuencia casi se duplica (25-30%). En pacientes hospitalizados, la frecuencia del deterioro cognitivo se aproxima al 25% y finalmente, es en el colectivo de ancianos institucionalizados en el que este síndrome es más frecuente (50-65%).</w:t>
      </w:r>
    </w:p>
    <w:p w14:paraId="1DCBCC01" w14:textId="4C873A4B" w:rsidR="00536C31" w:rsidRPr="00782216" w:rsidRDefault="00536C31" w:rsidP="00F61906">
      <w:pPr>
        <w:rPr>
          <w:rFonts w:ascii="Arial" w:eastAsia="Times New Roman" w:hAnsi="Arial" w:cs="Arial"/>
          <w:color w:val="505050"/>
          <w:sz w:val="24"/>
          <w:szCs w:val="24"/>
        </w:rPr>
      </w:pPr>
      <w:r w:rsidRPr="00782216">
        <w:rPr>
          <w:rFonts w:ascii="Arial" w:eastAsia="Times New Roman" w:hAnsi="Arial" w:cs="Arial"/>
          <w:color w:val="505050"/>
          <w:sz w:val="24"/>
          <w:szCs w:val="24"/>
        </w:rPr>
        <w:t xml:space="preserve">Dada la definición del síndrome de deterioro cognitivo, que como se ha señalado engloba cuadros muy diversos en cuanto a su origen, síntomas, gravedad, etc., su etiología es obviamente aún más compleja que la de los síndromes ya descritos: infecciones agudas, enfermedad cardiovascular, alteraciones </w:t>
      </w:r>
      <w:proofErr w:type="spellStart"/>
      <w:r w:rsidRPr="00782216">
        <w:rPr>
          <w:rFonts w:ascii="Arial" w:eastAsia="Times New Roman" w:hAnsi="Arial" w:cs="Arial"/>
          <w:color w:val="505050"/>
          <w:sz w:val="24"/>
          <w:szCs w:val="24"/>
        </w:rPr>
        <w:t>neuropsiquiátricas</w:t>
      </w:r>
      <w:proofErr w:type="spellEnd"/>
      <w:r w:rsidRPr="00782216">
        <w:rPr>
          <w:rFonts w:ascii="Arial" w:eastAsia="Times New Roman" w:hAnsi="Arial" w:cs="Arial"/>
          <w:color w:val="505050"/>
          <w:sz w:val="24"/>
          <w:szCs w:val="24"/>
        </w:rPr>
        <w:t xml:space="preserve">, hidroelectrolíticas y metabólicas, retención urinaria, </w:t>
      </w:r>
      <w:proofErr w:type="spellStart"/>
      <w:r w:rsidRPr="00782216">
        <w:rPr>
          <w:rFonts w:ascii="Arial" w:eastAsia="Times New Roman" w:hAnsi="Arial" w:cs="Arial"/>
          <w:color w:val="505050"/>
          <w:sz w:val="24"/>
          <w:szCs w:val="24"/>
        </w:rPr>
        <w:t>impactación</w:t>
      </w:r>
      <w:proofErr w:type="spellEnd"/>
      <w:r w:rsidRPr="00782216">
        <w:rPr>
          <w:rFonts w:ascii="Arial" w:eastAsia="Times New Roman" w:hAnsi="Arial" w:cs="Arial"/>
          <w:color w:val="505050"/>
          <w:sz w:val="24"/>
          <w:szCs w:val="24"/>
        </w:rPr>
        <w:t xml:space="preserve"> fecal, inmovilidad, fármacos (sedantes, anticolinérgicos, opiáceos, diuréticos, antiinflamatorios no esteroideos, corticoides, cimetidina, digoxina, </w:t>
      </w:r>
      <w:proofErr w:type="spellStart"/>
      <w:r w:rsidRPr="00782216">
        <w:rPr>
          <w:rFonts w:ascii="Arial" w:eastAsia="Times New Roman" w:hAnsi="Arial" w:cs="Arial"/>
          <w:color w:val="505050"/>
          <w:sz w:val="24"/>
          <w:szCs w:val="24"/>
        </w:rPr>
        <w:t>fenitoína</w:t>
      </w:r>
      <w:proofErr w:type="spellEnd"/>
      <w:r w:rsidRPr="00782216">
        <w:rPr>
          <w:rFonts w:ascii="Arial" w:eastAsia="Times New Roman" w:hAnsi="Arial" w:cs="Arial"/>
          <w:color w:val="505050"/>
          <w:sz w:val="24"/>
          <w:szCs w:val="24"/>
        </w:rPr>
        <w:t>).</w:t>
      </w:r>
    </w:p>
    <w:p w14:paraId="7AD439DE" w14:textId="578DD566" w:rsidR="00536C31" w:rsidRDefault="00782216" w:rsidP="00F61906">
      <w:pPr>
        <w:rPr>
          <w:rFonts w:ascii="Arial" w:eastAsia="Times New Roman" w:hAnsi="Arial" w:cs="Arial"/>
          <w:color w:val="505050"/>
          <w:sz w:val="24"/>
          <w:szCs w:val="24"/>
        </w:rPr>
      </w:pPr>
      <w:r w:rsidRPr="00782216">
        <w:rPr>
          <w:rFonts w:ascii="Arial" w:eastAsia="Times New Roman" w:hAnsi="Arial" w:cs="Arial"/>
          <w:color w:val="505050"/>
          <w:sz w:val="24"/>
          <w:szCs w:val="24"/>
        </w:rPr>
        <w:t xml:space="preserve">Las consecuencias del deterioro cognitivo, especialmente en los estadios más avanzados, son las siguientes: ansiedad, depresión, insomnio, caídas, inmovilidad, incontinencia, riesgo aumentado de infecciones, aislamiento social, dependencia para las actividades de la vida diaria, cambio de carácter, alteraciones de conducta, desnutrición, sobrecarga para el cuidador, elevado consumo de recursos </w:t>
      </w:r>
      <w:proofErr w:type="spellStart"/>
      <w:r w:rsidRPr="00782216">
        <w:rPr>
          <w:rFonts w:ascii="Arial" w:eastAsia="Times New Roman" w:hAnsi="Arial" w:cs="Arial"/>
          <w:color w:val="505050"/>
          <w:sz w:val="24"/>
          <w:szCs w:val="24"/>
        </w:rPr>
        <w:t>sociosanitarios</w:t>
      </w:r>
      <w:proofErr w:type="spellEnd"/>
      <w:r w:rsidRPr="00782216">
        <w:rPr>
          <w:rFonts w:ascii="Arial" w:eastAsia="Times New Roman" w:hAnsi="Arial" w:cs="Arial"/>
          <w:color w:val="505050"/>
          <w:sz w:val="24"/>
          <w:szCs w:val="24"/>
        </w:rPr>
        <w:t xml:space="preserve"> e institucionalización.</w:t>
      </w:r>
    </w:p>
    <w:p w14:paraId="774087C9" w14:textId="6F45C473" w:rsidR="008953AA" w:rsidRPr="0062794D" w:rsidRDefault="008953AA" w:rsidP="00F61906">
      <w:pPr>
        <w:rPr>
          <w:rFonts w:ascii="Arial" w:eastAsia="Times New Roman" w:hAnsi="Arial" w:cs="Arial"/>
          <w:color w:val="505050"/>
          <w:sz w:val="24"/>
          <w:szCs w:val="24"/>
        </w:rPr>
      </w:pPr>
      <w:r w:rsidRPr="0062794D">
        <w:rPr>
          <w:rFonts w:ascii="Arial" w:eastAsia="Times New Roman" w:hAnsi="Arial" w:cs="Arial"/>
          <w:color w:val="505050"/>
          <w:sz w:val="24"/>
          <w:szCs w:val="24"/>
        </w:rPr>
        <w:t xml:space="preserve">El tratamiento incluye un abanico terapéutico sumamente amplio: terapia ocupacional, psicofármacos (antidepresivos, ansiolíticos, inhibidores de la </w:t>
      </w:r>
      <w:proofErr w:type="spellStart"/>
      <w:r w:rsidRPr="0062794D">
        <w:rPr>
          <w:rFonts w:ascii="Arial" w:eastAsia="Times New Roman" w:hAnsi="Arial" w:cs="Arial"/>
          <w:color w:val="505050"/>
          <w:sz w:val="24"/>
          <w:szCs w:val="24"/>
        </w:rPr>
        <w:t>colinesterasa</w:t>
      </w:r>
      <w:proofErr w:type="spellEnd"/>
      <w:r w:rsidRPr="0062794D">
        <w:rPr>
          <w:rFonts w:ascii="Arial" w:eastAsia="Times New Roman" w:hAnsi="Arial" w:cs="Arial"/>
          <w:color w:val="505050"/>
          <w:sz w:val="24"/>
          <w:szCs w:val="24"/>
        </w:rPr>
        <w:t>, etc.).</w:t>
      </w:r>
    </w:p>
    <w:p w14:paraId="07F58264" w14:textId="7D6C9874" w:rsidR="008953AA" w:rsidRPr="0062794D" w:rsidRDefault="00634E24" w:rsidP="00F61906">
      <w:pPr>
        <w:rPr>
          <w:rFonts w:ascii="Arial" w:eastAsia="Times New Roman" w:hAnsi="Arial" w:cs="Arial"/>
          <w:color w:val="505050"/>
          <w:sz w:val="24"/>
          <w:szCs w:val="24"/>
        </w:rPr>
      </w:pPr>
      <w:r w:rsidRPr="0062794D">
        <w:rPr>
          <w:rFonts w:ascii="Arial" w:eastAsia="Times New Roman" w:hAnsi="Arial" w:cs="Arial"/>
          <w:color w:val="505050"/>
          <w:sz w:val="24"/>
          <w:szCs w:val="24"/>
        </w:rPr>
        <w:t>En pacientes con deterioro de memoria e incluso demencia en fases leves, parece útil intentar mantener las capacidades mentales existentes mediante talleres de memoria, orientación a la realidad, adaptación del entorno, etc. Los factores de riesgo cardiovascular, que parecen implicados en la demencia vascular y en la alteración cognitiva asociada a la edad, deben ser controlados.</w:t>
      </w:r>
    </w:p>
    <w:p w14:paraId="4A21A488" w14:textId="439FA197" w:rsidR="00634E24" w:rsidRDefault="00E31FC0" w:rsidP="00F61906">
      <w:pPr>
        <w:rPr>
          <w:rFonts w:ascii="Arial" w:eastAsia="Times New Roman" w:hAnsi="Arial" w:cs="Arial"/>
          <w:color w:val="505050"/>
          <w:sz w:val="24"/>
          <w:szCs w:val="24"/>
        </w:rPr>
      </w:pPr>
      <w:r w:rsidRPr="0062794D">
        <w:rPr>
          <w:rFonts w:ascii="Arial" w:eastAsia="Times New Roman" w:hAnsi="Arial" w:cs="Arial"/>
          <w:color w:val="505050"/>
          <w:sz w:val="24"/>
          <w:szCs w:val="24"/>
        </w:rPr>
        <w:t xml:space="preserve">En la prevención de las formas agudas de deterioro cognitivo, principalmente en el síndrome </w:t>
      </w:r>
      <w:proofErr w:type="spellStart"/>
      <w:r w:rsidRPr="0062794D">
        <w:rPr>
          <w:rFonts w:ascii="Arial" w:eastAsia="Times New Roman" w:hAnsi="Arial" w:cs="Arial"/>
          <w:color w:val="505050"/>
          <w:sz w:val="24"/>
          <w:szCs w:val="24"/>
        </w:rPr>
        <w:t>confusional</w:t>
      </w:r>
      <w:proofErr w:type="spellEnd"/>
      <w:r w:rsidRPr="0062794D">
        <w:rPr>
          <w:rFonts w:ascii="Arial" w:eastAsia="Times New Roman" w:hAnsi="Arial" w:cs="Arial"/>
          <w:color w:val="505050"/>
          <w:sz w:val="24"/>
          <w:szCs w:val="24"/>
        </w:rPr>
        <w:t xml:space="preserve"> agudo, son útiles medidas como minimizar el uso de fármacos causantes de este cuadro, mantener la homeostasis del medio interno en pacientes con graves enfermedades, facilitar la presencia familiar, asegurarse de que el paciente dispone de sus ayudas habituales (gafas y audífonos) y modificar el entorno adaptándolo a unas condiciones favorables para el paciente de edad avanzada.</w:t>
      </w:r>
    </w:p>
    <w:p w14:paraId="5E070661" w14:textId="3DD375A3" w:rsidR="0062794D" w:rsidRDefault="009448AD" w:rsidP="00F61906">
      <w:pPr>
        <w:rPr>
          <w:rFonts w:ascii="Arial" w:eastAsia="Times New Roman" w:hAnsi="Arial" w:cs="Arial"/>
          <w:color w:val="505050"/>
          <w:sz w:val="24"/>
          <w:szCs w:val="24"/>
        </w:rPr>
      </w:pPr>
      <w:r>
        <w:rPr>
          <w:rFonts w:ascii="Arial" w:eastAsia="Times New Roman" w:hAnsi="Arial" w:cs="Arial"/>
          <w:color w:val="505050"/>
          <w:sz w:val="24"/>
          <w:szCs w:val="24"/>
        </w:rPr>
        <w:t>Conclusión</w:t>
      </w:r>
    </w:p>
    <w:p w14:paraId="65924C1B" w14:textId="0233941F" w:rsidR="0062794D" w:rsidRPr="0062794D" w:rsidRDefault="0062794D" w:rsidP="00F61906">
      <w:pPr>
        <w:rPr>
          <w:rFonts w:ascii="Arial" w:hAnsi="Arial" w:cs="Arial"/>
          <w:sz w:val="24"/>
          <w:szCs w:val="24"/>
        </w:rPr>
      </w:pPr>
      <w:r>
        <w:rPr>
          <w:rFonts w:ascii="Arial" w:eastAsia="Times New Roman" w:hAnsi="Arial" w:cs="Arial"/>
          <w:color w:val="505050"/>
          <w:sz w:val="24"/>
          <w:szCs w:val="24"/>
        </w:rPr>
        <w:t>Al final podemos determinar</w:t>
      </w:r>
      <w:r w:rsidR="00DB6CF5">
        <w:rPr>
          <w:rFonts w:ascii="Arial" w:eastAsia="Times New Roman" w:hAnsi="Arial" w:cs="Arial"/>
          <w:color w:val="505050"/>
          <w:sz w:val="24"/>
          <w:szCs w:val="24"/>
        </w:rPr>
        <w:t xml:space="preserve">  que los síndromes geriátricos </w:t>
      </w:r>
      <w:r w:rsidR="00AE47A2">
        <w:rPr>
          <w:rFonts w:ascii="Arial" w:eastAsia="Times New Roman" w:hAnsi="Arial" w:cs="Arial"/>
          <w:color w:val="505050"/>
          <w:sz w:val="24"/>
          <w:szCs w:val="24"/>
        </w:rPr>
        <w:t xml:space="preserve">que actualmente cursan en la </w:t>
      </w:r>
      <w:proofErr w:type="spellStart"/>
      <w:r w:rsidR="00AE47A2">
        <w:rPr>
          <w:rFonts w:ascii="Arial" w:eastAsia="Times New Roman" w:hAnsi="Arial" w:cs="Arial"/>
          <w:color w:val="505050"/>
          <w:sz w:val="24"/>
          <w:szCs w:val="24"/>
        </w:rPr>
        <w:t>mayoria</w:t>
      </w:r>
      <w:proofErr w:type="spellEnd"/>
      <w:r w:rsidR="00AE47A2">
        <w:rPr>
          <w:rFonts w:ascii="Arial" w:eastAsia="Times New Roman" w:hAnsi="Arial" w:cs="Arial"/>
          <w:color w:val="505050"/>
          <w:sz w:val="24"/>
          <w:szCs w:val="24"/>
        </w:rPr>
        <w:t xml:space="preserve"> los adultos mayores a 65 años, las podemos prevenir, si nosotros como </w:t>
      </w:r>
      <w:r w:rsidR="009448AD">
        <w:rPr>
          <w:rFonts w:ascii="Arial" w:eastAsia="Times New Roman" w:hAnsi="Arial" w:cs="Arial"/>
          <w:color w:val="505050"/>
          <w:sz w:val="24"/>
          <w:szCs w:val="24"/>
        </w:rPr>
        <w:t xml:space="preserve">personal de salud o los cuidadores ponemos un poco de </w:t>
      </w:r>
      <w:proofErr w:type="spellStart"/>
      <w:r w:rsidR="009448AD">
        <w:rPr>
          <w:rFonts w:ascii="Arial" w:eastAsia="Times New Roman" w:hAnsi="Arial" w:cs="Arial"/>
          <w:color w:val="505050"/>
          <w:sz w:val="24"/>
          <w:szCs w:val="24"/>
        </w:rPr>
        <w:t>enfasis</w:t>
      </w:r>
      <w:proofErr w:type="spellEnd"/>
      <w:r w:rsidR="009448AD">
        <w:rPr>
          <w:rFonts w:ascii="Arial" w:eastAsia="Times New Roman" w:hAnsi="Arial" w:cs="Arial"/>
          <w:color w:val="505050"/>
          <w:sz w:val="24"/>
          <w:szCs w:val="24"/>
        </w:rPr>
        <w:t xml:space="preserve"> en intervenir de manera inmediata cualquier signo de alarma que tengan nuestros adultos mayores.</w:t>
      </w:r>
    </w:p>
    <w:sectPr w:rsidR="0062794D" w:rsidRPr="006279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NexusSansPro">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3D79"/>
    <w:multiLevelType w:val="hybridMultilevel"/>
    <w:tmpl w:val="360E3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C37B9C"/>
    <w:multiLevelType w:val="hybridMultilevel"/>
    <w:tmpl w:val="A426C2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964728A"/>
    <w:multiLevelType w:val="hybridMultilevel"/>
    <w:tmpl w:val="DE5E3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E3C56"/>
    <w:multiLevelType w:val="hybridMultilevel"/>
    <w:tmpl w:val="B94085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1F4517"/>
    <w:multiLevelType w:val="hybridMultilevel"/>
    <w:tmpl w:val="87009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99E77FD"/>
    <w:multiLevelType w:val="hybridMultilevel"/>
    <w:tmpl w:val="E5F45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ED7D99"/>
    <w:multiLevelType w:val="hybridMultilevel"/>
    <w:tmpl w:val="B67EAA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4D73EB"/>
    <w:multiLevelType w:val="hybridMultilevel"/>
    <w:tmpl w:val="8D6A94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75464">
    <w:abstractNumId w:val="0"/>
  </w:num>
  <w:num w:numId="2" w16cid:durableId="503131494">
    <w:abstractNumId w:val="7"/>
  </w:num>
  <w:num w:numId="3" w16cid:durableId="1938830322">
    <w:abstractNumId w:val="2"/>
  </w:num>
  <w:num w:numId="4" w16cid:durableId="2026709926">
    <w:abstractNumId w:val="6"/>
  </w:num>
  <w:num w:numId="5" w16cid:durableId="929895433">
    <w:abstractNumId w:val="4"/>
  </w:num>
  <w:num w:numId="6" w16cid:durableId="897858094">
    <w:abstractNumId w:val="3"/>
  </w:num>
  <w:num w:numId="7" w16cid:durableId="1325204152">
    <w:abstractNumId w:val="1"/>
  </w:num>
  <w:num w:numId="8" w16cid:durableId="19871295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19"/>
    <w:rsid w:val="00017550"/>
    <w:rsid w:val="00033AF1"/>
    <w:rsid w:val="0003766A"/>
    <w:rsid w:val="000827C4"/>
    <w:rsid w:val="00135560"/>
    <w:rsid w:val="00183A2A"/>
    <w:rsid w:val="00184426"/>
    <w:rsid w:val="0019058C"/>
    <w:rsid w:val="001A0B40"/>
    <w:rsid w:val="00212E24"/>
    <w:rsid w:val="00286B6E"/>
    <w:rsid w:val="00291EF1"/>
    <w:rsid w:val="002C758D"/>
    <w:rsid w:val="0035405A"/>
    <w:rsid w:val="003D14F1"/>
    <w:rsid w:val="00415227"/>
    <w:rsid w:val="00432E2B"/>
    <w:rsid w:val="00503D6F"/>
    <w:rsid w:val="00536C31"/>
    <w:rsid w:val="0059420C"/>
    <w:rsid w:val="005A4181"/>
    <w:rsid w:val="005B778B"/>
    <w:rsid w:val="0062794D"/>
    <w:rsid w:val="00634E24"/>
    <w:rsid w:val="006401FE"/>
    <w:rsid w:val="006B23BD"/>
    <w:rsid w:val="006D6016"/>
    <w:rsid w:val="006D6535"/>
    <w:rsid w:val="006F64DF"/>
    <w:rsid w:val="00711D42"/>
    <w:rsid w:val="00782216"/>
    <w:rsid w:val="007862B3"/>
    <w:rsid w:val="00826E14"/>
    <w:rsid w:val="0087311A"/>
    <w:rsid w:val="008814D0"/>
    <w:rsid w:val="008953AA"/>
    <w:rsid w:val="008F4596"/>
    <w:rsid w:val="0090510A"/>
    <w:rsid w:val="00920D20"/>
    <w:rsid w:val="009448AD"/>
    <w:rsid w:val="00952155"/>
    <w:rsid w:val="009700C5"/>
    <w:rsid w:val="00972C12"/>
    <w:rsid w:val="009879CC"/>
    <w:rsid w:val="009A517D"/>
    <w:rsid w:val="00A35335"/>
    <w:rsid w:val="00A52C3B"/>
    <w:rsid w:val="00AB2BE7"/>
    <w:rsid w:val="00AC34E4"/>
    <w:rsid w:val="00AE47A2"/>
    <w:rsid w:val="00B16E9B"/>
    <w:rsid w:val="00B76FCE"/>
    <w:rsid w:val="00BF4615"/>
    <w:rsid w:val="00C61941"/>
    <w:rsid w:val="00C66424"/>
    <w:rsid w:val="00C709DB"/>
    <w:rsid w:val="00C87A60"/>
    <w:rsid w:val="00CB7A23"/>
    <w:rsid w:val="00CD7F22"/>
    <w:rsid w:val="00D65616"/>
    <w:rsid w:val="00DB351C"/>
    <w:rsid w:val="00DB6CF5"/>
    <w:rsid w:val="00E31FC0"/>
    <w:rsid w:val="00E34C9F"/>
    <w:rsid w:val="00E53E19"/>
    <w:rsid w:val="00E67702"/>
    <w:rsid w:val="00E677A0"/>
    <w:rsid w:val="00E93FDE"/>
    <w:rsid w:val="00EE1F05"/>
    <w:rsid w:val="00EF420E"/>
    <w:rsid w:val="00F057EE"/>
    <w:rsid w:val="00F4349D"/>
    <w:rsid w:val="00F61906"/>
    <w:rsid w:val="00FD19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C918575"/>
  <w15:chartTrackingRefBased/>
  <w15:docId w15:val="{E00B369D-3DA7-6945-8696-604A2C7D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862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E53E1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E53E19"/>
    <w:rPr>
      <w:i/>
      <w:iCs/>
      <w:color w:val="4472C4" w:themeColor="accent1"/>
    </w:rPr>
  </w:style>
  <w:style w:type="paragraph" w:styleId="Prrafodelista">
    <w:name w:val="List Paragraph"/>
    <w:basedOn w:val="Normal"/>
    <w:uiPriority w:val="34"/>
    <w:qFormat/>
    <w:rsid w:val="00A35335"/>
    <w:pPr>
      <w:ind w:left="720"/>
      <w:contextualSpacing/>
    </w:pPr>
  </w:style>
  <w:style w:type="character" w:customStyle="1" w:styleId="Ttulo2Car">
    <w:name w:val="Título 2 Car"/>
    <w:basedOn w:val="Fuentedeprrafopredeter"/>
    <w:link w:val="Ttulo2"/>
    <w:uiPriority w:val="9"/>
    <w:rsid w:val="007862B3"/>
    <w:rPr>
      <w:rFonts w:asciiTheme="majorHAnsi" w:eastAsiaTheme="majorEastAsia" w:hAnsiTheme="majorHAnsi" w:cstheme="majorBidi"/>
      <w:color w:val="2F5496" w:themeColor="accent1" w:themeShade="BF"/>
      <w:sz w:val="26"/>
      <w:szCs w:val="26"/>
    </w:rPr>
  </w:style>
  <w:style w:type="paragraph" w:customStyle="1" w:styleId="elsevierstylepara">
    <w:name w:val="elsevierstylepara"/>
    <w:basedOn w:val="Normal"/>
    <w:rsid w:val="00D6561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96799">
      <w:bodyDiv w:val="1"/>
      <w:marLeft w:val="0"/>
      <w:marRight w:val="0"/>
      <w:marTop w:val="0"/>
      <w:marBottom w:val="0"/>
      <w:divBdr>
        <w:top w:val="none" w:sz="0" w:space="0" w:color="auto"/>
        <w:left w:val="none" w:sz="0" w:space="0" w:color="auto"/>
        <w:bottom w:val="none" w:sz="0" w:space="0" w:color="auto"/>
        <w:right w:val="none" w:sz="0" w:space="0" w:color="auto"/>
      </w:divBdr>
    </w:div>
    <w:div w:id="57890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1734</Words>
  <Characters>9540</Characters>
  <Application>Microsoft Office Word</Application>
  <DocSecurity>0</DocSecurity>
  <Lines>79</Lines>
  <Paragraphs>22</Paragraphs>
  <ScaleCrop>false</ScaleCrop>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ragomez2525@gmail.com</dc:creator>
  <cp:keywords/>
  <dc:description/>
  <cp:lastModifiedBy>ragomez2525@gmail.com</cp:lastModifiedBy>
  <cp:revision>9</cp:revision>
  <dcterms:created xsi:type="dcterms:W3CDTF">2023-05-08T05:07:00Z</dcterms:created>
  <dcterms:modified xsi:type="dcterms:W3CDTF">2023-05-08T05:12:00Z</dcterms:modified>
</cp:coreProperties>
</file>