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C7F" w:rsidRDefault="00543C7F" w:rsidP="00543C7F">
      <w:r>
        <w:rPr>
          <w:noProof/>
          <w:lang w:eastAsia="es-MX"/>
        </w:rPr>
        <w:drawing>
          <wp:anchor distT="0" distB="0" distL="114300" distR="114300" simplePos="0" relativeHeight="251659264" behindDoc="0" locked="0" layoutInCell="1" allowOverlap="1" wp14:anchorId="24BF7A9D" wp14:editId="60CFAFA7">
            <wp:simplePos x="0" y="0"/>
            <wp:positionH relativeFrom="margin">
              <wp:posOffset>-338769</wp:posOffset>
            </wp:positionH>
            <wp:positionV relativeFrom="paragraph">
              <wp:posOffset>-14226</wp:posOffset>
            </wp:positionV>
            <wp:extent cx="6408420" cy="2030680"/>
            <wp:effectExtent l="0" t="0" r="0" b="8255"/>
            <wp:wrapNone/>
            <wp:docPr id="2" name="Imagen 2"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hivo:Universidad Del Sureste.jpg - Wikipedia, la enciclopedia libre"/>
                    <pic:cNvPicPr>
                      <a:picLocks noChangeAspect="1" noChangeArrowheads="1"/>
                    </pic:cNvPicPr>
                  </pic:nvPicPr>
                  <pic:blipFill rotWithShape="1">
                    <a:blip r:embed="rId7">
                      <a:extLst>
                        <a:ext uri="{28A0092B-C50C-407E-A947-70E740481C1C}">
                          <a14:useLocalDpi xmlns:a14="http://schemas.microsoft.com/office/drawing/2010/main" val="0"/>
                        </a:ext>
                      </a:extLst>
                    </a:blip>
                    <a:srcRect t="26077" b="24917"/>
                    <a:stretch/>
                  </pic:blipFill>
                  <pic:spPr bwMode="auto">
                    <a:xfrm>
                      <a:off x="0" y="0"/>
                      <a:ext cx="6408420" cy="203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3C7F" w:rsidRDefault="00543C7F" w:rsidP="00543C7F"/>
    <w:p w:rsidR="00543C7F" w:rsidRDefault="00543C7F" w:rsidP="00543C7F"/>
    <w:p w:rsidR="00543C7F" w:rsidRDefault="00543C7F" w:rsidP="00543C7F"/>
    <w:p w:rsidR="00543C7F" w:rsidRDefault="00543C7F" w:rsidP="00543C7F"/>
    <w:p w:rsidR="00543C7F" w:rsidRDefault="00543C7F" w:rsidP="00543C7F"/>
    <w:p w:rsidR="00543C7F" w:rsidRDefault="00543C7F" w:rsidP="00543C7F"/>
    <w:p w:rsidR="00543C7F" w:rsidRPr="0044541B" w:rsidRDefault="00543C7F" w:rsidP="00543C7F">
      <w:pPr>
        <w:rPr>
          <w:sz w:val="40"/>
        </w:rPr>
      </w:pPr>
      <w:r>
        <w:rPr>
          <w:noProof/>
          <w:lang w:eastAsia="es-MX"/>
        </w:rPr>
        <mc:AlternateContent>
          <mc:Choice Requires="wps">
            <w:drawing>
              <wp:anchor distT="0" distB="0" distL="114300" distR="114300" simplePos="0" relativeHeight="251660288" behindDoc="0" locked="0" layoutInCell="1" allowOverlap="1" wp14:anchorId="70BAEFCA" wp14:editId="4E8DFA04">
                <wp:simplePos x="0" y="0"/>
                <wp:positionH relativeFrom="margin">
                  <wp:posOffset>1243965</wp:posOffset>
                </wp:positionH>
                <wp:positionV relativeFrom="paragraph">
                  <wp:posOffset>6350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43C7F" w:rsidRPr="00072848" w:rsidRDefault="00543C7F" w:rsidP="00543C7F">
                            <w:pPr>
                              <w:jc w:val="center"/>
                              <w:rPr>
                                <w:b/>
                                <w:color w:val="00123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848">
                              <w:rPr>
                                <w:b/>
                                <w:color w:val="00123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 Universidad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BAEFCA" id="_x0000_t202" coordsize="21600,21600" o:spt="202" path="m,l,21600r21600,l21600,xe">
                <v:stroke joinstyle="miter"/>
                <v:path gradientshapeok="t" o:connecttype="rect"/>
              </v:shapetype>
              <v:shape id="Cuadro de texto 1" o:spid="_x0000_s1026" type="#_x0000_t202" style="position:absolute;margin-left:97.95pt;margin-top:.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Y/IwIAAE4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" filled="f" stroked="f">
                <v:textbox style="mso-fit-shape-to-text:t">
                  <w:txbxContent>
                    <w:p w:rsidR="00543C7F" w:rsidRPr="00072848" w:rsidRDefault="00543C7F" w:rsidP="00543C7F">
                      <w:pPr>
                        <w:jc w:val="center"/>
                        <w:rPr>
                          <w:b/>
                          <w:color w:val="00123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848">
                        <w:rPr>
                          <w:b/>
                          <w:color w:val="00123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 Universidad</w:t>
                      </w:r>
                    </w:p>
                  </w:txbxContent>
                </v:textbox>
                <w10:wrap anchorx="margin"/>
              </v:shape>
            </w:pict>
          </mc:Fallback>
        </mc:AlternateContent>
      </w:r>
    </w:p>
    <w:p w:rsidR="00543C7F" w:rsidRDefault="00543C7F" w:rsidP="00543C7F">
      <w:pPr>
        <w:spacing w:line="360" w:lineRule="auto"/>
        <w:rPr>
          <w:b/>
          <w:sz w:val="40"/>
        </w:rPr>
      </w:pPr>
    </w:p>
    <w:p w:rsidR="00543C7F" w:rsidRDefault="00543C7F" w:rsidP="00543C7F">
      <w:pPr>
        <w:spacing w:line="360" w:lineRule="auto"/>
        <w:rPr>
          <w:b/>
          <w:sz w:val="40"/>
        </w:rPr>
      </w:pPr>
    </w:p>
    <w:p w:rsidR="00543C7F" w:rsidRPr="0044541B" w:rsidRDefault="00543C7F" w:rsidP="00543C7F">
      <w:pPr>
        <w:spacing w:line="360" w:lineRule="auto"/>
        <w:rPr>
          <w:sz w:val="40"/>
        </w:rPr>
      </w:pPr>
      <w:r w:rsidRPr="0044541B">
        <w:rPr>
          <w:b/>
          <w:sz w:val="40"/>
        </w:rPr>
        <w:t>NOMBRE DEL ALUMNO:</w:t>
      </w:r>
      <w:r>
        <w:rPr>
          <w:sz w:val="40"/>
        </w:rPr>
        <w:t xml:space="preserve"> Galia</w:t>
      </w:r>
      <w:r w:rsidRPr="0044541B">
        <w:rPr>
          <w:sz w:val="40"/>
        </w:rPr>
        <w:t xml:space="preserve"> Consuelo Rodas Pinto.</w:t>
      </w:r>
    </w:p>
    <w:p w:rsidR="00543C7F" w:rsidRPr="0044541B" w:rsidRDefault="00543C7F" w:rsidP="00543C7F">
      <w:pPr>
        <w:spacing w:line="360" w:lineRule="auto"/>
        <w:rPr>
          <w:sz w:val="40"/>
        </w:rPr>
      </w:pPr>
      <w:r w:rsidRPr="0044541B">
        <w:rPr>
          <w:b/>
          <w:sz w:val="40"/>
        </w:rPr>
        <w:t>TEMA:</w:t>
      </w:r>
      <w:r>
        <w:rPr>
          <w:b/>
          <w:sz w:val="40"/>
        </w:rPr>
        <w:t xml:space="preserve"> </w:t>
      </w:r>
      <w:r>
        <w:rPr>
          <w:sz w:val="40"/>
        </w:rPr>
        <w:t>LA SALUD COMO EL DERECHO EN MÉXICO</w:t>
      </w:r>
      <w:r w:rsidRPr="00244DD1">
        <w:rPr>
          <w:sz w:val="40"/>
        </w:rPr>
        <w:t>.</w:t>
      </w:r>
    </w:p>
    <w:p w:rsidR="00543C7F" w:rsidRPr="0044541B" w:rsidRDefault="00543C7F" w:rsidP="00543C7F">
      <w:pPr>
        <w:spacing w:line="360" w:lineRule="auto"/>
        <w:rPr>
          <w:sz w:val="40"/>
        </w:rPr>
      </w:pPr>
      <w:r w:rsidRPr="0044541B">
        <w:rPr>
          <w:b/>
          <w:sz w:val="40"/>
        </w:rPr>
        <w:t>PARCIAL:</w:t>
      </w:r>
      <w:r w:rsidRPr="0044541B">
        <w:rPr>
          <w:sz w:val="40"/>
        </w:rPr>
        <w:t xml:space="preserve"> I</w:t>
      </w:r>
    </w:p>
    <w:p w:rsidR="00543C7F" w:rsidRPr="0044541B" w:rsidRDefault="00543C7F" w:rsidP="00543C7F">
      <w:pPr>
        <w:spacing w:line="360" w:lineRule="auto"/>
        <w:rPr>
          <w:sz w:val="40"/>
        </w:rPr>
      </w:pPr>
      <w:r w:rsidRPr="0044541B">
        <w:rPr>
          <w:b/>
          <w:sz w:val="40"/>
        </w:rPr>
        <w:t>Materia:</w:t>
      </w:r>
      <w:r>
        <w:rPr>
          <w:b/>
          <w:sz w:val="40"/>
        </w:rPr>
        <w:t xml:space="preserve"> </w:t>
      </w:r>
      <w:r w:rsidRPr="00543C7F">
        <w:rPr>
          <w:sz w:val="40"/>
        </w:rPr>
        <w:t>LEGISLACIÓN EN LA SALUD.</w:t>
      </w:r>
    </w:p>
    <w:p w:rsidR="00543C7F" w:rsidRPr="0044541B" w:rsidRDefault="00543C7F" w:rsidP="00543C7F">
      <w:pPr>
        <w:spacing w:line="360" w:lineRule="auto"/>
        <w:rPr>
          <w:sz w:val="40"/>
        </w:rPr>
      </w:pPr>
      <w:r w:rsidRPr="0044541B">
        <w:rPr>
          <w:b/>
          <w:sz w:val="40"/>
        </w:rPr>
        <w:t>NOMBRE DEL PROFESOR:</w:t>
      </w:r>
      <w:r w:rsidRPr="0044541B">
        <w:rPr>
          <w:sz w:val="40"/>
        </w:rPr>
        <w:t xml:space="preserve"> </w:t>
      </w:r>
      <w:r>
        <w:rPr>
          <w:sz w:val="40"/>
        </w:rPr>
        <w:t>MIKE ANDERSON</w:t>
      </w:r>
      <w:r w:rsidRPr="0044541B">
        <w:rPr>
          <w:sz w:val="40"/>
        </w:rPr>
        <w:t>.</w:t>
      </w:r>
    </w:p>
    <w:p w:rsidR="00543C7F" w:rsidRPr="0044541B" w:rsidRDefault="00543C7F" w:rsidP="00543C7F">
      <w:pPr>
        <w:spacing w:line="360" w:lineRule="auto"/>
        <w:rPr>
          <w:sz w:val="40"/>
        </w:rPr>
      </w:pPr>
      <w:r w:rsidRPr="0044541B">
        <w:rPr>
          <w:b/>
          <w:sz w:val="40"/>
        </w:rPr>
        <w:t>LICENCIATURA:</w:t>
      </w:r>
      <w:r w:rsidRPr="0044541B">
        <w:rPr>
          <w:sz w:val="40"/>
        </w:rPr>
        <w:t xml:space="preserve"> Enfermería.</w:t>
      </w:r>
    </w:p>
    <w:p w:rsidR="00543C7F" w:rsidRDefault="00543C7F" w:rsidP="00543C7F">
      <w:pPr>
        <w:spacing w:line="360" w:lineRule="auto"/>
        <w:rPr>
          <w:sz w:val="40"/>
        </w:rPr>
      </w:pPr>
      <w:r w:rsidRPr="0044541B">
        <w:rPr>
          <w:b/>
          <w:sz w:val="40"/>
        </w:rPr>
        <w:t>CUATRIMESTRE:</w:t>
      </w:r>
      <w:r>
        <w:rPr>
          <w:sz w:val="40"/>
        </w:rPr>
        <w:t xml:space="preserve"> 8</w:t>
      </w:r>
    </w:p>
    <w:p w:rsidR="00543C7F" w:rsidRDefault="00543C7F">
      <w:pPr>
        <w:rPr>
          <w:rFonts w:ascii="Arial" w:eastAsia="Times New Roman" w:hAnsi="Arial" w:cs="Arial"/>
          <w:b/>
          <w:bCs/>
          <w:color w:val="3C4245"/>
          <w:sz w:val="24"/>
          <w:szCs w:val="24"/>
          <w:lang w:eastAsia="es-MX"/>
        </w:rPr>
      </w:pPr>
      <w:r>
        <w:rPr>
          <w:rFonts w:ascii="Arial" w:eastAsia="Times New Roman" w:hAnsi="Arial" w:cs="Arial"/>
          <w:b/>
          <w:bCs/>
          <w:color w:val="3C4245"/>
          <w:sz w:val="24"/>
          <w:szCs w:val="24"/>
          <w:lang w:eastAsia="es-MX"/>
        </w:rPr>
        <w:br w:type="page"/>
      </w:r>
    </w:p>
    <w:p w:rsidR="009D637B" w:rsidRDefault="009D637B" w:rsidP="009D637B">
      <w:pPr>
        <w:spacing w:before="100" w:beforeAutospacing="1" w:after="100" w:afterAutospacing="1" w:line="276" w:lineRule="auto"/>
        <w:jc w:val="both"/>
        <w:outlineLvl w:val="1"/>
        <w:rPr>
          <w:rFonts w:ascii="Arial" w:eastAsia="Times New Roman" w:hAnsi="Arial" w:cs="Arial"/>
          <w:b/>
          <w:bCs/>
          <w:color w:val="3C4245"/>
          <w:sz w:val="24"/>
          <w:szCs w:val="24"/>
          <w:lang w:eastAsia="es-MX"/>
        </w:rPr>
        <w:sectPr w:rsidR="009D637B" w:rsidSect="00A33AAA">
          <w:footerReference w:type="default" r:id="rId8"/>
          <w:footerReference w:type="first" r:id="rId9"/>
          <w:pgSz w:w="12240" w:h="15840"/>
          <w:pgMar w:top="1417" w:right="1701" w:bottom="1417" w:left="1701" w:header="709" w:footer="709" w:gutter="0"/>
          <w:cols w:space="708"/>
          <w:docGrid w:linePitch="360"/>
        </w:sectPr>
      </w:pPr>
    </w:p>
    <w:p w:rsidR="00C64223" w:rsidRPr="00C64223" w:rsidRDefault="00C64223" w:rsidP="009D637B">
      <w:pPr>
        <w:spacing w:before="100" w:beforeAutospacing="1" w:after="100" w:afterAutospacing="1" w:line="276" w:lineRule="auto"/>
        <w:jc w:val="both"/>
        <w:outlineLvl w:val="1"/>
        <w:rPr>
          <w:rFonts w:ascii="Arial" w:eastAsia="Times New Roman" w:hAnsi="Arial" w:cs="Arial"/>
          <w:b/>
          <w:bCs/>
          <w:color w:val="3C4245"/>
          <w:sz w:val="24"/>
          <w:szCs w:val="24"/>
          <w:lang w:eastAsia="es-MX"/>
        </w:rPr>
      </w:pPr>
      <w:r w:rsidRPr="00C64223">
        <w:rPr>
          <w:rFonts w:ascii="Arial" w:eastAsia="Times New Roman" w:hAnsi="Arial" w:cs="Arial"/>
          <w:b/>
          <w:bCs/>
          <w:color w:val="3C4245"/>
          <w:sz w:val="24"/>
          <w:szCs w:val="24"/>
          <w:lang w:eastAsia="es-MX"/>
        </w:rPr>
        <w:t>Introducción</w:t>
      </w:r>
    </w:p>
    <w:p w:rsidR="00C64223" w:rsidRPr="00C64223" w:rsidRDefault="00C64223" w:rsidP="009D637B">
      <w:p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color w:val="3C4245"/>
          <w:sz w:val="24"/>
          <w:szCs w:val="24"/>
          <w:lang w:eastAsia="es-MX"/>
        </w:rPr>
        <w:t>El derecho al “grado máximo de salud que se pueda lograr” exige un conjunto de criterios sociales que propicien la salud de todas las personas, entre ellos la disponibilidad de servicios de salud, condiciones de trabajo seguras, vivienda adecuada y alimentos nutritivos. El goce del derecho a la salud está estrechamente relacionado con el de otros derechos humanos tales como los derechos a la alimentación, la vivienda, el trabajo, la educación, la no discriminación, el acceso a la información y la participación.</w:t>
      </w:r>
    </w:p>
    <w:p w:rsidR="00C64223" w:rsidRPr="00C64223" w:rsidRDefault="00C64223" w:rsidP="009D637B">
      <w:p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color w:val="3C4245"/>
          <w:sz w:val="24"/>
          <w:szCs w:val="24"/>
          <w:lang w:eastAsia="es-MX"/>
        </w:rPr>
        <w:t>El derecho a la salud abarca libertades y derechos.</w:t>
      </w:r>
    </w:p>
    <w:p w:rsidR="00C64223" w:rsidRPr="00C64223" w:rsidRDefault="00C64223" w:rsidP="009D637B">
      <w:pPr>
        <w:numPr>
          <w:ilvl w:val="0"/>
          <w:numId w:val="2"/>
        </w:num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color w:val="3C4245"/>
          <w:sz w:val="24"/>
          <w:szCs w:val="24"/>
          <w:lang w:eastAsia="es-MX"/>
        </w:rPr>
        <w:t>Entre las </w:t>
      </w:r>
      <w:r w:rsidRPr="00C64223">
        <w:rPr>
          <w:rFonts w:ascii="Arial" w:eastAsia="Times New Roman" w:hAnsi="Arial" w:cs="Arial"/>
          <w:b/>
          <w:bCs/>
          <w:color w:val="3C4245"/>
          <w:sz w:val="24"/>
          <w:szCs w:val="24"/>
          <w:lang w:eastAsia="es-MX"/>
        </w:rPr>
        <w:t>libertades</w:t>
      </w:r>
      <w:r w:rsidRPr="00C64223">
        <w:rPr>
          <w:rFonts w:ascii="Arial" w:eastAsia="Times New Roman" w:hAnsi="Arial" w:cs="Arial"/>
          <w:color w:val="3C4245"/>
          <w:sz w:val="24"/>
          <w:szCs w:val="24"/>
          <w:lang w:eastAsia="es-MX"/>
        </w:rPr>
        <w:t> se incluye el derecho de las personas de controlar su salud y su cuerpo (por ejemplo, derechos sexuales y reproductivos) sin injerencias (por ejemplo, torturas y tratamientos y experimentos médicos no consensuados).</w:t>
      </w:r>
    </w:p>
    <w:p w:rsidR="00C64223" w:rsidRPr="00C64223" w:rsidRDefault="00C64223" w:rsidP="009D637B">
      <w:pPr>
        <w:numPr>
          <w:ilvl w:val="0"/>
          <w:numId w:val="2"/>
        </w:num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color w:val="3C4245"/>
          <w:sz w:val="24"/>
          <w:szCs w:val="24"/>
          <w:lang w:eastAsia="es-MX"/>
        </w:rPr>
        <w:t>Los </w:t>
      </w:r>
      <w:r w:rsidRPr="00C64223">
        <w:rPr>
          <w:rFonts w:ascii="Arial" w:eastAsia="Times New Roman" w:hAnsi="Arial" w:cs="Arial"/>
          <w:b/>
          <w:bCs/>
          <w:color w:val="3C4245"/>
          <w:sz w:val="24"/>
          <w:szCs w:val="24"/>
          <w:lang w:eastAsia="es-MX"/>
        </w:rPr>
        <w:t>derechos</w:t>
      </w:r>
      <w:r w:rsidRPr="00C64223">
        <w:rPr>
          <w:rFonts w:ascii="Arial" w:eastAsia="Times New Roman" w:hAnsi="Arial" w:cs="Arial"/>
          <w:color w:val="3C4245"/>
          <w:sz w:val="24"/>
          <w:szCs w:val="24"/>
          <w:lang w:eastAsia="es-MX"/>
        </w:rPr>
        <w:t> incluyen el derecho de acceso a un sistema de protección de la salud que ofrezca a todas las personas las mismas oportunidades de disfrutar del grado máximo de salud que se pueda alcanzar.</w:t>
      </w:r>
    </w:p>
    <w:p w:rsidR="00C64223" w:rsidRPr="00C64223" w:rsidRDefault="00C64223" w:rsidP="009D637B">
      <w:p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color w:val="3C4245"/>
          <w:sz w:val="24"/>
          <w:szCs w:val="24"/>
          <w:lang w:eastAsia="es-MX"/>
        </w:rPr>
        <w:t>Las políticas y programas de salud pueden promover o violar los derechos humanos, en particular el derecho a la salud, en función de la manera en que se formulen y se apliquen. La adopción de medidas orientadas a respetar y proteger los derechos humanos afianza la responsabilidad del sector sanitario respecto de la salud de cada persona.</w:t>
      </w:r>
    </w:p>
    <w:p w:rsidR="00C64223" w:rsidRPr="00C64223" w:rsidRDefault="00C64223" w:rsidP="009D637B">
      <w:pPr>
        <w:spacing w:before="100" w:beforeAutospacing="1" w:after="100" w:afterAutospacing="1" w:line="276" w:lineRule="auto"/>
        <w:jc w:val="both"/>
        <w:outlineLvl w:val="1"/>
        <w:rPr>
          <w:rFonts w:ascii="Arial" w:eastAsia="Times New Roman" w:hAnsi="Arial" w:cs="Arial"/>
          <w:b/>
          <w:bCs/>
          <w:color w:val="3C4245"/>
          <w:sz w:val="24"/>
          <w:szCs w:val="24"/>
          <w:lang w:eastAsia="es-MX"/>
        </w:rPr>
      </w:pPr>
      <w:r w:rsidRPr="00C64223">
        <w:rPr>
          <w:rFonts w:ascii="Arial" w:eastAsia="Times New Roman" w:hAnsi="Arial" w:cs="Arial"/>
          <w:b/>
          <w:bCs/>
          <w:color w:val="3C4245"/>
          <w:sz w:val="24"/>
          <w:szCs w:val="24"/>
          <w:lang w:eastAsia="es-MX"/>
        </w:rPr>
        <w:t>Poblaciones desfavorecidas y derecho a la salud</w:t>
      </w:r>
    </w:p>
    <w:p w:rsidR="00C64223" w:rsidRPr="00C64223" w:rsidRDefault="00C64223" w:rsidP="009D637B">
      <w:p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color w:val="3C4245"/>
          <w:sz w:val="24"/>
          <w:szCs w:val="24"/>
          <w:lang w:eastAsia="es-MX"/>
        </w:rPr>
        <w:t>Los grupos sociales vulnerables y marginados suelen tener menos probabilidades de disfrutar del derecho a la salud. Tres de las enfermedades transmisibles más mortíferas (paludismo, VIH/sida y tuberculosis) afectan desproporcionadamente a las poblaciones más pobres del mundo e imponen una carga tremenda a las economías de los países en desarrollo. Por otra parte, la carga de morbilidad por enfermedades no transmisibles, que con frecuencia se piensa que afectan a países de altos ingresos, está aumentando desproporcionadamente en los países y las poblaciones de bajos ingresos.</w:t>
      </w:r>
    </w:p>
    <w:p w:rsidR="00C64223" w:rsidRPr="00C64223" w:rsidRDefault="00C64223" w:rsidP="009D637B">
      <w:p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color w:val="3C4245"/>
          <w:sz w:val="24"/>
          <w:szCs w:val="24"/>
          <w:lang w:eastAsia="es-MX"/>
        </w:rPr>
        <w:t>En los países, algunos grupos de población, por ejemplo las comunidades indígenas, están expuestos a mayores tasas de enfermedad y afrontan dificultades importantes para acceder a una atención sanitaria de calidad y asequible. Estos grupos registran tasas de mortalidad y morbilidad sustancialmente más altas que la población en general, a consecuencia de enfermedades no transmisibles tales como el cáncer, las cardiopatías y las enfermedades respiratorias crónicas. Las personas particularmente vulnerables a la infección por el VIH, incluidas las mujeres jóvenes, los hombres homosexuales y los consumidores de drogas inyectables, suelen pertenecer a grupos desfavorecidos y discriminados social y económicamente. Esos grupos vulnerables pueden ser víctimas de leyes y políticas que agravan la marginación y dificultan más aún el acceso a servicios de prevención y atención.</w:t>
      </w:r>
    </w:p>
    <w:p w:rsidR="00C64223" w:rsidRPr="00C64223" w:rsidRDefault="00C64223" w:rsidP="009D637B">
      <w:pPr>
        <w:spacing w:before="100" w:beforeAutospacing="1" w:after="100" w:afterAutospacing="1" w:line="276" w:lineRule="auto"/>
        <w:jc w:val="both"/>
        <w:outlineLvl w:val="1"/>
        <w:rPr>
          <w:rFonts w:ascii="Arial" w:eastAsia="Times New Roman" w:hAnsi="Arial" w:cs="Arial"/>
          <w:b/>
          <w:bCs/>
          <w:color w:val="3C4245"/>
          <w:sz w:val="24"/>
          <w:szCs w:val="24"/>
          <w:lang w:eastAsia="es-MX"/>
        </w:rPr>
      </w:pPr>
      <w:r w:rsidRPr="00C64223">
        <w:rPr>
          <w:rFonts w:ascii="Arial" w:eastAsia="Times New Roman" w:hAnsi="Arial" w:cs="Arial"/>
          <w:b/>
          <w:bCs/>
          <w:color w:val="3C4245"/>
          <w:sz w:val="24"/>
          <w:szCs w:val="24"/>
          <w:lang w:eastAsia="es-MX"/>
        </w:rPr>
        <w:t>Violaciones de los derechos humanos en el ámbito de la salud</w:t>
      </w:r>
    </w:p>
    <w:p w:rsidR="00C64223" w:rsidRPr="00C64223" w:rsidRDefault="00C64223" w:rsidP="009D637B">
      <w:p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color w:val="3C4245"/>
          <w:sz w:val="24"/>
          <w:szCs w:val="24"/>
          <w:lang w:eastAsia="es-MX"/>
        </w:rPr>
        <w:t>Las violaciones o la inobservancia de los derechos humanos pueden conllevar graves consecuencias sanitarias. La discriminación manifiesta o implícita en la prestación de servicios de salud viola derechos humanos fundamentales. Muchas personas con trastornos de salud mental permanecen en centros para enfermos mentales contra su voluntad, a pesar de que tienen la capacidad para tomar decisiones sobre su futuro. Por otra parte, cuando faltan camas de hospital, se suele dar de alta prematuramente a personas de esos grupos, lo que puede dar lugar a altas tasas de readmisión, y en ocasiones incluso a defunciones, y constituye también una violación de sus derechos a recibir tratamiento.</w:t>
      </w:r>
    </w:p>
    <w:p w:rsidR="00C64223" w:rsidRPr="00C64223" w:rsidRDefault="00C64223" w:rsidP="009D637B">
      <w:p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color w:val="3C4245"/>
          <w:sz w:val="24"/>
          <w:szCs w:val="24"/>
          <w:lang w:eastAsia="es-MX"/>
        </w:rPr>
        <w:t>Asimismo, se suele denegar a las mujeres el acceso a servicios y atención de salud sexual y reproductiva, tanto en países en desarrollo como en países desarrollados. Esta violación de los derechos humanos</w:t>
      </w:r>
      <w:r w:rsidR="008D2150">
        <w:rPr>
          <w:rFonts w:ascii="Arial" w:eastAsia="Times New Roman" w:hAnsi="Arial" w:cs="Arial"/>
          <w:color w:val="3C4245"/>
          <w:sz w:val="24"/>
          <w:szCs w:val="24"/>
          <w:lang w:eastAsia="es-MX"/>
        </w:rPr>
        <w:t>;</w:t>
      </w:r>
      <w:r w:rsidRPr="00C64223">
        <w:rPr>
          <w:rFonts w:ascii="Arial" w:eastAsia="Times New Roman" w:hAnsi="Arial" w:cs="Arial"/>
          <w:color w:val="3C4245"/>
          <w:sz w:val="24"/>
          <w:szCs w:val="24"/>
          <w:lang w:eastAsia="es-MX"/>
        </w:rPr>
        <w:t xml:space="preserve"> denegación de la atención, en algunas sociedades se suele someter a las mujeres a intervenciones tales como esterilización, abortos o exámenes de virginidad.</w:t>
      </w:r>
    </w:p>
    <w:p w:rsidR="00C64223" w:rsidRPr="00C64223" w:rsidRDefault="00C64223" w:rsidP="009D637B">
      <w:pPr>
        <w:spacing w:before="100" w:beforeAutospacing="1" w:after="100" w:afterAutospacing="1" w:line="276" w:lineRule="auto"/>
        <w:jc w:val="both"/>
        <w:outlineLvl w:val="1"/>
        <w:rPr>
          <w:rFonts w:ascii="Arial" w:eastAsia="Times New Roman" w:hAnsi="Arial" w:cs="Arial"/>
          <w:b/>
          <w:bCs/>
          <w:color w:val="3C4245"/>
          <w:sz w:val="24"/>
          <w:szCs w:val="24"/>
          <w:lang w:eastAsia="es-MX"/>
        </w:rPr>
      </w:pPr>
      <w:r w:rsidRPr="00C64223">
        <w:rPr>
          <w:rFonts w:ascii="Arial" w:eastAsia="Times New Roman" w:hAnsi="Arial" w:cs="Arial"/>
          <w:b/>
          <w:bCs/>
          <w:color w:val="3C4245"/>
          <w:sz w:val="24"/>
          <w:szCs w:val="24"/>
          <w:lang w:eastAsia="es-MX"/>
        </w:rPr>
        <w:t>Enfoques basados en los derechos humanos</w:t>
      </w:r>
    </w:p>
    <w:p w:rsidR="00C64223" w:rsidRPr="00C64223" w:rsidRDefault="00C64223" w:rsidP="009D637B">
      <w:p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color w:val="3C4245"/>
          <w:sz w:val="24"/>
          <w:szCs w:val="24"/>
          <w:lang w:eastAsia="es-MX"/>
        </w:rPr>
        <w:t>El objetivo es que todas las políticas, estrategias y programas se formulen con el fin de mejorar progresivamente el goce del derecho a la salud para todas las personas. Las intervenciones para conseguirlo se rigen por principios y normas rigurosos que incluyen:</w:t>
      </w:r>
    </w:p>
    <w:p w:rsidR="00C64223" w:rsidRPr="00C64223" w:rsidRDefault="00C64223" w:rsidP="009D637B">
      <w:pPr>
        <w:numPr>
          <w:ilvl w:val="0"/>
          <w:numId w:val="3"/>
        </w:num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b/>
          <w:bCs/>
          <w:color w:val="3C4245"/>
          <w:sz w:val="24"/>
          <w:szCs w:val="24"/>
          <w:lang w:eastAsia="es-MX"/>
        </w:rPr>
        <w:t>No discriminación: </w:t>
      </w:r>
      <w:r w:rsidRPr="00C64223">
        <w:rPr>
          <w:rFonts w:ascii="Arial" w:eastAsia="Times New Roman" w:hAnsi="Arial" w:cs="Arial"/>
          <w:color w:val="3C4245"/>
          <w:sz w:val="24"/>
          <w:szCs w:val="24"/>
          <w:lang w:eastAsia="es-MX"/>
        </w:rPr>
        <w:t>el principio de no discriminación procura garantizar el ejercicio de los derechos sin discriminación alguna por motivos de raza, color, sexo, idioma, religión, opinión política o de otra índole, origen nacional o social, posición económica, nacimiento o cualquier otra condición, por ejemplo, discapacidad, edad, estado civil y familiar, orientación e identidad sexual, estado de salud, lugar de residencia y situación económica y social</w:t>
      </w:r>
      <w:r w:rsidRPr="00C64223">
        <w:rPr>
          <w:rFonts w:ascii="Arial" w:eastAsia="Times New Roman" w:hAnsi="Arial" w:cs="Arial"/>
          <w:b/>
          <w:bCs/>
          <w:color w:val="3C4245"/>
          <w:sz w:val="24"/>
          <w:szCs w:val="24"/>
          <w:vertAlign w:val="superscript"/>
          <w:lang w:eastAsia="es-MX"/>
        </w:rPr>
        <w:t>1</w:t>
      </w:r>
      <w:r w:rsidRPr="00C64223">
        <w:rPr>
          <w:rFonts w:ascii="Arial" w:eastAsia="Times New Roman" w:hAnsi="Arial" w:cs="Arial"/>
          <w:color w:val="3C4245"/>
          <w:sz w:val="24"/>
          <w:szCs w:val="24"/>
          <w:lang w:eastAsia="es-MX"/>
        </w:rPr>
        <w:t>.</w:t>
      </w:r>
    </w:p>
    <w:p w:rsidR="00C64223" w:rsidRPr="00C64223" w:rsidRDefault="00C64223" w:rsidP="009D637B">
      <w:pPr>
        <w:numPr>
          <w:ilvl w:val="0"/>
          <w:numId w:val="3"/>
        </w:num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b/>
          <w:bCs/>
          <w:color w:val="3C4245"/>
          <w:sz w:val="24"/>
          <w:szCs w:val="24"/>
          <w:lang w:eastAsia="es-MX"/>
        </w:rPr>
        <w:t>Disponibilidad: </w:t>
      </w:r>
      <w:r w:rsidRPr="00C64223">
        <w:rPr>
          <w:rFonts w:ascii="Arial" w:eastAsia="Times New Roman" w:hAnsi="Arial" w:cs="Arial"/>
          <w:color w:val="3C4245"/>
          <w:sz w:val="24"/>
          <w:szCs w:val="24"/>
          <w:lang w:eastAsia="es-MX"/>
        </w:rPr>
        <w:t>se deberá contar con un número suficiente de establecimientos, bienes y servicios públicos de salud, así como de programas de salud.</w:t>
      </w:r>
    </w:p>
    <w:p w:rsidR="00C64223" w:rsidRPr="00C64223" w:rsidRDefault="00C64223" w:rsidP="009D637B">
      <w:pPr>
        <w:numPr>
          <w:ilvl w:val="0"/>
          <w:numId w:val="3"/>
        </w:num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b/>
          <w:bCs/>
          <w:color w:val="3C4245"/>
          <w:sz w:val="24"/>
          <w:szCs w:val="24"/>
          <w:lang w:eastAsia="es-MX"/>
        </w:rPr>
        <w:t>Accesibilidad:</w:t>
      </w:r>
      <w:r w:rsidRPr="00C64223">
        <w:rPr>
          <w:rFonts w:ascii="Arial" w:eastAsia="Times New Roman" w:hAnsi="Arial" w:cs="Arial"/>
          <w:color w:val="3C4245"/>
          <w:sz w:val="24"/>
          <w:szCs w:val="24"/>
          <w:lang w:eastAsia="es-MX"/>
        </w:rPr>
        <w:t> los establecimientos, bienes y servicios de salud deben ser accesibles a todos. La accesibilidad presenta cuatro dimensiones superpuestas:</w:t>
      </w:r>
    </w:p>
    <w:p w:rsidR="00C64223" w:rsidRPr="00C64223" w:rsidRDefault="00C64223" w:rsidP="009D637B">
      <w:pPr>
        <w:numPr>
          <w:ilvl w:val="0"/>
          <w:numId w:val="3"/>
        </w:num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b/>
          <w:bCs/>
          <w:color w:val="3C4245"/>
          <w:sz w:val="24"/>
          <w:szCs w:val="24"/>
          <w:lang w:eastAsia="es-MX"/>
        </w:rPr>
        <w:t>Aceptabilidad: </w:t>
      </w:r>
      <w:r w:rsidRPr="00C64223">
        <w:rPr>
          <w:rFonts w:ascii="Arial" w:eastAsia="Times New Roman" w:hAnsi="Arial" w:cs="Arial"/>
          <w:color w:val="3C4245"/>
          <w:sz w:val="24"/>
          <w:szCs w:val="24"/>
          <w:lang w:eastAsia="es-MX"/>
        </w:rPr>
        <w:t>todos los establecimientos, bienes y servicios de salud deberán ser respetuosos de la ética médica y culturalmente apropiados, y sensibles a las necesidades propias de cada sexo y del ciclo vital.</w:t>
      </w:r>
    </w:p>
    <w:p w:rsidR="00C64223" w:rsidRPr="00C64223" w:rsidRDefault="00C64223" w:rsidP="009D637B">
      <w:pPr>
        <w:numPr>
          <w:ilvl w:val="0"/>
          <w:numId w:val="3"/>
        </w:num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b/>
          <w:bCs/>
          <w:color w:val="3C4245"/>
          <w:sz w:val="24"/>
          <w:szCs w:val="24"/>
          <w:lang w:eastAsia="es-MX"/>
        </w:rPr>
        <w:t>Calidad: </w:t>
      </w:r>
      <w:r w:rsidRPr="00C64223">
        <w:rPr>
          <w:rFonts w:ascii="Arial" w:eastAsia="Times New Roman" w:hAnsi="Arial" w:cs="Arial"/>
          <w:color w:val="3C4245"/>
          <w:sz w:val="24"/>
          <w:szCs w:val="24"/>
          <w:lang w:eastAsia="es-MX"/>
        </w:rPr>
        <w:t>los establecimientos, bienes y servicios de salud deberán ser apropiados desde el punto de vista científico y médico y ser de buena calidad.</w:t>
      </w:r>
    </w:p>
    <w:p w:rsidR="00C64223" w:rsidRPr="00C64223" w:rsidRDefault="00C64223" w:rsidP="009D637B">
      <w:pPr>
        <w:numPr>
          <w:ilvl w:val="0"/>
          <w:numId w:val="3"/>
        </w:num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b/>
          <w:bCs/>
          <w:color w:val="3C4245"/>
          <w:sz w:val="24"/>
          <w:szCs w:val="24"/>
          <w:lang w:eastAsia="es-MX"/>
        </w:rPr>
        <w:t>Rendición de cuentas: </w:t>
      </w:r>
      <w:r w:rsidRPr="00C64223">
        <w:rPr>
          <w:rFonts w:ascii="Arial" w:eastAsia="Times New Roman" w:hAnsi="Arial" w:cs="Arial"/>
          <w:color w:val="3C4245"/>
          <w:sz w:val="24"/>
          <w:szCs w:val="24"/>
          <w:lang w:eastAsia="es-MX"/>
        </w:rPr>
        <w:t>los Estados y otros garantes de los derechos son responsables de la observancia de los derechos humanos.</w:t>
      </w:r>
    </w:p>
    <w:p w:rsidR="00C64223" w:rsidRPr="00C64223" w:rsidRDefault="00C64223" w:rsidP="009D637B">
      <w:pPr>
        <w:numPr>
          <w:ilvl w:val="0"/>
          <w:numId w:val="3"/>
        </w:num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b/>
          <w:bCs/>
          <w:color w:val="3C4245"/>
          <w:sz w:val="24"/>
          <w:szCs w:val="24"/>
          <w:lang w:eastAsia="es-MX"/>
        </w:rPr>
        <w:t>Universalidad: </w:t>
      </w:r>
      <w:r w:rsidRPr="00C64223">
        <w:rPr>
          <w:rFonts w:ascii="Arial" w:eastAsia="Times New Roman" w:hAnsi="Arial" w:cs="Arial"/>
          <w:color w:val="3C4245"/>
          <w:sz w:val="24"/>
          <w:szCs w:val="24"/>
          <w:lang w:eastAsia="es-MX"/>
        </w:rPr>
        <w:t>los derechos humanos son universales e inalienables. Todas las personas, en cualquier lugar del mundo, deben poder ejercerlos.</w:t>
      </w:r>
    </w:p>
    <w:p w:rsidR="00C64223" w:rsidRPr="00B24401" w:rsidRDefault="00C64223" w:rsidP="009D637B">
      <w:p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color w:val="3C4245"/>
          <w:sz w:val="24"/>
          <w:szCs w:val="24"/>
          <w:lang w:eastAsia="es-MX"/>
        </w:rPr>
        <w:t>Un enfoque basado en los derechos humanos identifica relaciones a fin de emancipar a las personas para que puedan reivindicar sus derechos</w:t>
      </w:r>
      <w:r w:rsidR="008D2150">
        <w:rPr>
          <w:rFonts w:ascii="Arial" w:eastAsia="Times New Roman" w:hAnsi="Arial" w:cs="Arial"/>
          <w:color w:val="3C4245"/>
          <w:sz w:val="24"/>
          <w:szCs w:val="24"/>
          <w:lang w:eastAsia="es-MX"/>
        </w:rPr>
        <w:t>.</w:t>
      </w:r>
    </w:p>
    <w:p w:rsidR="00C64223" w:rsidRPr="00C64223" w:rsidRDefault="00C64223" w:rsidP="009D637B">
      <w:p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color w:val="3C4245"/>
          <w:sz w:val="24"/>
          <w:szCs w:val="24"/>
          <w:lang w:eastAsia="es-MX"/>
        </w:rPr>
        <w:t>La OMS se ha comprometido a incorporar los derechos humanos en los programas y políticas de atención de salud, tanto en los ámbitos nacional como regional, para lo cual tendrá en cuenta los determinantes subyacentes de la salud como parte de un enfoque integral de la salud y los derechos humanos. fortalecer la capacidad de la OMS y de sus Estados Miembros para adoptar un enfoque de la salud basado en los derechos humanos</w:t>
      </w:r>
      <w:r w:rsidR="008D2150">
        <w:rPr>
          <w:rFonts w:ascii="Arial" w:eastAsia="Times New Roman" w:hAnsi="Arial" w:cs="Arial"/>
          <w:color w:val="3C4245"/>
          <w:sz w:val="24"/>
          <w:szCs w:val="24"/>
          <w:lang w:eastAsia="es-MX"/>
        </w:rPr>
        <w:t>.</w:t>
      </w:r>
    </w:p>
    <w:p w:rsidR="00C64223" w:rsidRPr="00C64223" w:rsidRDefault="00C64223" w:rsidP="009D637B">
      <w:pPr>
        <w:numPr>
          <w:ilvl w:val="0"/>
          <w:numId w:val="4"/>
        </w:num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color w:val="3C4245"/>
          <w:sz w:val="24"/>
          <w:szCs w:val="24"/>
          <w:lang w:eastAsia="es-MX"/>
        </w:rPr>
        <w:t>promover el derecho a la salud en el derecho internacional y en los procesos de desarrollo internacionales;</w:t>
      </w:r>
    </w:p>
    <w:p w:rsidR="00C64223" w:rsidRPr="00C64223" w:rsidRDefault="00C64223" w:rsidP="009D637B">
      <w:pPr>
        <w:numPr>
          <w:ilvl w:val="0"/>
          <w:numId w:val="4"/>
        </w:numPr>
        <w:spacing w:before="100" w:beforeAutospacing="1" w:after="100" w:afterAutospacing="1" w:line="276" w:lineRule="auto"/>
        <w:jc w:val="both"/>
        <w:rPr>
          <w:rFonts w:ascii="Arial" w:eastAsia="Times New Roman" w:hAnsi="Arial" w:cs="Arial"/>
          <w:color w:val="3C4245"/>
          <w:sz w:val="24"/>
          <w:szCs w:val="24"/>
          <w:lang w:eastAsia="es-MX"/>
        </w:rPr>
      </w:pPr>
      <w:r w:rsidRPr="00C64223">
        <w:rPr>
          <w:rFonts w:ascii="Arial" w:eastAsia="Times New Roman" w:hAnsi="Arial" w:cs="Arial"/>
          <w:color w:val="3C4245"/>
          <w:sz w:val="24"/>
          <w:szCs w:val="24"/>
          <w:lang w:eastAsia="es-MX"/>
        </w:rPr>
        <w:t>promover los derechos humanos relacionados con la salud, incluido el derecho a la salud.</w:t>
      </w:r>
    </w:p>
    <w:p w:rsidR="008D2150" w:rsidRDefault="008D2150" w:rsidP="009D637B">
      <w:pPr>
        <w:spacing w:line="276" w:lineRule="auto"/>
        <w:jc w:val="both"/>
        <w:rPr>
          <w:rFonts w:ascii="Arial" w:hAnsi="Arial" w:cs="Arial"/>
          <w:sz w:val="24"/>
          <w:szCs w:val="24"/>
        </w:rPr>
      </w:pPr>
    </w:p>
    <w:p w:rsidR="008D2150" w:rsidRDefault="008D2150" w:rsidP="009D637B">
      <w:pPr>
        <w:spacing w:line="276" w:lineRule="auto"/>
        <w:jc w:val="both"/>
        <w:rPr>
          <w:rFonts w:ascii="Arial" w:hAnsi="Arial" w:cs="Arial"/>
          <w:sz w:val="24"/>
          <w:szCs w:val="24"/>
        </w:rPr>
      </w:pPr>
    </w:p>
    <w:p w:rsidR="008D2150" w:rsidRDefault="008D2150" w:rsidP="009D637B">
      <w:pPr>
        <w:spacing w:line="276" w:lineRule="auto"/>
        <w:jc w:val="both"/>
        <w:rPr>
          <w:rFonts w:ascii="Arial" w:hAnsi="Arial" w:cs="Arial"/>
          <w:sz w:val="24"/>
          <w:szCs w:val="24"/>
        </w:rPr>
      </w:pPr>
    </w:p>
    <w:p w:rsidR="009D637B" w:rsidRDefault="009D637B" w:rsidP="009D637B">
      <w:pPr>
        <w:spacing w:line="276" w:lineRule="auto"/>
        <w:jc w:val="both"/>
        <w:rPr>
          <w:rFonts w:ascii="Arial" w:hAnsi="Arial" w:cs="Arial"/>
          <w:sz w:val="24"/>
          <w:szCs w:val="24"/>
        </w:rPr>
      </w:pPr>
    </w:p>
    <w:p w:rsidR="009D637B" w:rsidRDefault="009D637B" w:rsidP="009D637B">
      <w:pPr>
        <w:spacing w:line="276" w:lineRule="auto"/>
        <w:jc w:val="both"/>
        <w:rPr>
          <w:rFonts w:ascii="Arial" w:hAnsi="Arial" w:cs="Arial"/>
          <w:sz w:val="24"/>
          <w:szCs w:val="24"/>
        </w:rPr>
      </w:pPr>
    </w:p>
    <w:p w:rsidR="009D637B" w:rsidRDefault="009D637B" w:rsidP="009D637B">
      <w:pPr>
        <w:spacing w:line="276" w:lineRule="auto"/>
        <w:jc w:val="both"/>
        <w:rPr>
          <w:rFonts w:ascii="Arial" w:hAnsi="Arial" w:cs="Arial"/>
          <w:sz w:val="24"/>
          <w:szCs w:val="24"/>
        </w:rPr>
      </w:pPr>
    </w:p>
    <w:p w:rsidR="00B24401" w:rsidRDefault="00B24401" w:rsidP="009D637B">
      <w:pPr>
        <w:spacing w:line="276" w:lineRule="auto"/>
        <w:jc w:val="both"/>
        <w:rPr>
          <w:rFonts w:ascii="Arial" w:hAnsi="Arial" w:cs="Arial"/>
          <w:sz w:val="24"/>
          <w:szCs w:val="24"/>
        </w:rPr>
      </w:pPr>
    </w:p>
    <w:p w:rsidR="00A52422" w:rsidRPr="008D2150" w:rsidRDefault="00383BC0" w:rsidP="009D637B">
      <w:pPr>
        <w:spacing w:line="276" w:lineRule="auto"/>
        <w:jc w:val="both"/>
        <w:rPr>
          <w:rFonts w:ascii="Arial" w:hAnsi="Arial" w:cs="Arial"/>
          <w:sz w:val="24"/>
          <w:szCs w:val="24"/>
        </w:rPr>
      </w:pPr>
      <w:r w:rsidRPr="008D2150">
        <w:rPr>
          <w:rFonts w:ascii="Arial" w:hAnsi="Arial" w:cs="Arial"/>
          <w:sz w:val="24"/>
          <w:szCs w:val="24"/>
        </w:rPr>
        <w:t xml:space="preserve">La salud como derecho en </w:t>
      </w:r>
      <w:proofErr w:type="spellStart"/>
      <w:r w:rsidRPr="008D2150">
        <w:rPr>
          <w:rFonts w:ascii="Arial" w:hAnsi="Arial" w:cs="Arial"/>
          <w:sz w:val="24"/>
          <w:szCs w:val="24"/>
        </w:rPr>
        <w:t>Mexico</w:t>
      </w:r>
      <w:proofErr w:type="spellEnd"/>
      <w:r w:rsidRPr="008D2150">
        <w:rPr>
          <w:rFonts w:ascii="Arial" w:hAnsi="Arial" w:cs="Arial"/>
          <w:sz w:val="24"/>
          <w:szCs w:val="24"/>
        </w:rPr>
        <w:t>.</w:t>
      </w:r>
      <w:r w:rsidR="00A52422" w:rsidRPr="008D2150">
        <w:rPr>
          <w:rFonts w:ascii="Arial" w:hAnsi="Arial" w:cs="Arial"/>
          <w:sz w:val="24"/>
          <w:szCs w:val="24"/>
        </w:rPr>
        <w:t xml:space="preserve"> </w:t>
      </w:r>
    </w:p>
    <w:p w:rsidR="00A52422" w:rsidRPr="008D2150" w:rsidRDefault="00A52422" w:rsidP="009D637B">
      <w:pPr>
        <w:spacing w:line="276" w:lineRule="auto"/>
        <w:jc w:val="both"/>
        <w:rPr>
          <w:rFonts w:ascii="Arial" w:hAnsi="Arial" w:cs="Arial"/>
          <w:sz w:val="24"/>
          <w:szCs w:val="24"/>
        </w:rPr>
      </w:pP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 xml:space="preserve">     Iniciativa con proyecto de decreto por el que se reforma el artículo 4° de la Constitución Política de los Estados Unidos Mexicanos.</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Artículo 4. La Nación mexicana tiene una composición pluricultural sustentada originalmente en sus pueblos indígenas. La Ley protegerá y promoverá el desarrollo de sus lenguas, culturas, usos, costumbres, recursos y formas específicas de organización social, y garantizará a sus integrantes el efectivo acceso a la jurisdicción del Estado. En los juicios y procedimientos agrarios en que aquellos sean parte, se tomarán en cuenta sus prácticas y costumbres jurídicas en los términos que establezca la ley.</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El varón y la mujer son iguales ante la ley. Esta protegerá la organización y el desarrollo de la familia.</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Toda persona tiene derecho a decidir de manera libre, responsable e informada sobre el número y el espaciamiento de sus hijos.</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Toda persona tiene derecho a un medio ambiente adecuado para su desarrollo y bienestar.</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Toda familia tiene derecho a disfrutar de vivienda digna y decorosa. La ley establecerá los instrumentos y apoyos necesarios a fin de alcanzar tal objetivo.</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Los niños y las niñas tienen derecho a la satisfacción de sus necesidades de alimentación, salud, educación y sano esparcimiento para su desarrollo integral.</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Los ascendientes, tutores y custodios tienen el deber de preservar estos derechos. El Estado proveerá lo necesario para propiciar el respeto a la dignidad de la niñez y el ejercicio pleno de sus derechos.</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Artículo 4.- ...</w:t>
      </w:r>
    </w:p>
    <w:p w:rsidR="000930A8"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La nación mexicana tiene una composición pluricultural sustentada originalmente en sus pueblos indígenas. La ley protegerá y promoverá el desarrollo de sus lenguas, culturas, usos, costumbres, recursos y formas específicas de organización social, y garantizará a sus integrantes el efectivo acceso a la jurisdicción del Estado. En los juicios y procedimientos agrarios en que aquellos sean parte, se tomarán en cuenta sus prácticas y costumbres jurídicas en los términos que establezca la ley.</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El varón y la mujer son iguales ante la Ley. El Estado Mexicano impulsará todas las medidas necesarias destinadas al logro de la equidad y la igualdad en el trato y el otorgamiento de las oportunidades a mujeres y hombres.</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La Ley protegerá la organización y el desarrollo de la familia. Toda persona tiene derecho a decidir de manera libre, responsable e informada, sobre el número y espaciamiento de sus hijos.</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Toda persona tiene derecho a la protección de la salud. La ley definirá las bases y modalidades para el acceso a los servicios de salud y establecerá la concurrencia de la Federación y las entidades federativas en materia de salubridad general, conforme a lo dispone la fracción XVI del artículo 73 de esta Constitución.</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Toda persona tiene derecho a un medio ambiente adecuado para su desarrollo y bienestar.</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Toda familia tiene derecho a disfrutar de vivienda digna y decorosa. La ley establecerá los instrumentos y apoyos necesarios a fin de alcanzar tal objetivo.</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Los niños y las niñas tienen derecho a la satisfacción de sus necesidades de alimentación, salud, educación y sano esparcimiento para su desarrollo integral.</w:t>
      </w:r>
    </w:p>
    <w:p w:rsidR="00A52422" w:rsidRPr="008D2150" w:rsidRDefault="00A52422" w:rsidP="009D637B">
      <w:pPr>
        <w:spacing w:line="276" w:lineRule="auto"/>
        <w:jc w:val="both"/>
        <w:rPr>
          <w:rFonts w:ascii="Arial" w:hAnsi="Arial" w:cs="Arial"/>
          <w:sz w:val="24"/>
          <w:szCs w:val="24"/>
        </w:rPr>
      </w:pPr>
      <w:r w:rsidRPr="008D2150">
        <w:rPr>
          <w:rFonts w:ascii="Arial" w:hAnsi="Arial" w:cs="Arial"/>
          <w:sz w:val="24"/>
          <w:szCs w:val="24"/>
        </w:rPr>
        <w:t xml:space="preserve"> El Estado proveerá lo necesario para propiciar el respeto a la dignidad de la niñez y el ejercicio pleno de sus derechos.</w:t>
      </w:r>
    </w:p>
    <w:p w:rsidR="00B24401" w:rsidRDefault="00A52422" w:rsidP="009D637B">
      <w:pPr>
        <w:spacing w:line="276" w:lineRule="auto"/>
        <w:jc w:val="both"/>
        <w:rPr>
          <w:rFonts w:ascii="Arial" w:hAnsi="Arial" w:cs="Arial"/>
          <w:sz w:val="24"/>
          <w:szCs w:val="24"/>
        </w:rPr>
      </w:pPr>
      <w:r w:rsidRPr="008D2150">
        <w:rPr>
          <w:rFonts w:ascii="Arial" w:hAnsi="Arial" w:cs="Arial"/>
          <w:sz w:val="24"/>
          <w:szCs w:val="24"/>
        </w:rPr>
        <w:t>El Estado otorgará facilidades a los particulares para que coadyuven al cumplimiento de los derechos de la niñez</w:t>
      </w:r>
      <w:r w:rsidR="00B24401">
        <w:rPr>
          <w:rFonts w:ascii="Arial" w:hAnsi="Arial" w:cs="Arial"/>
          <w:sz w:val="24"/>
          <w:szCs w:val="24"/>
        </w:rPr>
        <w:t>.</w:t>
      </w:r>
    </w:p>
    <w:p w:rsidR="00B24401" w:rsidRPr="008D2150" w:rsidRDefault="00B24401" w:rsidP="009D637B">
      <w:pPr>
        <w:spacing w:line="276" w:lineRule="auto"/>
        <w:jc w:val="both"/>
        <w:rPr>
          <w:rFonts w:ascii="Arial" w:hAnsi="Arial" w:cs="Arial"/>
          <w:sz w:val="24"/>
          <w:szCs w:val="24"/>
        </w:rPr>
      </w:pPr>
      <w:r>
        <w:rPr>
          <w:rFonts w:ascii="Arial" w:hAnsi="Arial" w:cs="Arial"/>
          <w:sz w:val="24"/>
          <w:szCs w:val="24"/>
        </w:rPr>
        <w:t xml:space="preserve">En conclusión todo ser humano tiene derecho a la salud, regida a nivel mundial por la </w:t>
      </w:r>
      <w:r w:rsidRPr="00B24401">
        <w:rPr>
          <w:rFonts w:ascii="Arial" w:hAnsi="Arial" w:cs="Arial"/>
          <w:sz w:val="24"/>
          <w:szCs w:val="24"/>
        </w:rPr>
        <w:t>OMS</w:t>
      </w:r>
      <w:r>
        <w:rPr>
          <w:rFonts w:ascii="Arial" w:hAnsi="Arial" w:cs="Arial"/>
          <w:sz w:val="24"/>
          <w:szCs w:val="24"/>
        </w:rPr>
        <w:t xml:space="preserve">, y regulada por los derecho de cada país, y supervisadas por las leyes por las autoridades, encargadas de cada estado como lo marca la nación. </w:t>
      </w:r>
      <w:r w:rsidRPr="00B24401">
        <w:rPr>
          <w:rFonts w:ascii="Arial" w:hAnsi="Arial" w:cs="Arial"/>
          <w:sz w:val="24"/>
          <w:szCs w:val="24"/>
        </w:rPr>
        <w:t xml:space="preserve"> </w:t>
      </w:r>
      <w:r>
        <w:rPr>
          <w:rFonts w:ascii="Arial" w:hAnsi="Arial" w:cs="Arial"/>
          <w:sz w:val="24"/>
          <w:szCs w:val="24"/>
        </w:rPr>
        <w:t xml:space="preserve"> </w:t>
      </w:r>
    </w:p>
    <w:p w:rsidR="00A52422" w:rsidRDefault="00A52422" w:rsidP="009D637B">
      <w:pPr>
        <w:spacing w:line="276" w:lineRule="auto"/>
      </w:pPr>
    </w:p>
    <w:p w:rsidR="00C64223" w:rsidRDefault="00C64223"/>
    <w:sectPr w:rsidR="00C64223" w:rsidSect="009D637B">
      <w:footerReference w:type="default" r:id="rId10"/>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637B" w:rsidRDefault="009D637B" w:rsidP="009D637B">
      <w:pPr>
        <w:spacing w:after="0" w:line="240" w:lineRule="auto"/>
      </w:pPr>
      <w:r>
        <w:separator/>
      </w:r>
    </w:p>
  </w:endnote>
  <w:endnote w:type="continuationSeparator" w:id="0">
    <w:p w:rsidR="009D637B" w:rsidRDefault="009D637B" w:rsidP="009D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37B" w:rsidRDefault="009D637B" w:rsidP="009D637B"/>
  <w:p w:rsidR="009D637B" w:rsidRDefault="009D63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37B" w:rsidRDefault="009D637B" w:rsidP="009D637B">
    <w:pPr>
      <w:spacing w:line="276" w:lineRule="auto"/>
      <w:rPr>
        <w:rFonts w:ascii="Arial" w:eastAsia="Times New Roman" w:hAnsi="Arial" w:cs="Arial"/>
        <w:color w:val="3C4245"/>
        <w:sz w:val="24"/>
        <w:szCs w:val="24"/>
        <w:lang w:eastAsia="es-MX"/>
      </w:rPr>
    </w:pPr>
    <w:r>
      <w:t>Citas textuales.</w:t>
    </w:r>
    <w:r w:rsidRPr="00C64223">
      <w:rPr>
        <w:rFonts w:ascii="Arial" w:eastAsia="Times New Roman" w:hAnsi="Arial" w:cs="Arial"/>
        <w:b/>
        <w:bCs/>
        <w:color w:val="3C4245"/>
        <w:sz w:val="24"/>
        <w:szCs w:val="24"/>
        <w:vertAlign w:val="superscript"/>
        <w:lang w:eastAsia="es-MX"/>
      </w:rPr>
      <w:t xml:space="preserve"> 1</w:t>
    </w:r>
    <w:r w:rsidRPr="00C64223">
      <w:rPr>
        <w:rFonts w:ascii="Arial" w:eastAsia="Times New Roman" w:hAnsi="Arial" w:cs="Arial"/>
        <w:color w:val="3C4245"/>
        <w:sz w:val="24"/>
        <w:szCs w:val="24"/>
        <w:lang w:eastAsia="es-MX"/>
      </w:rPr>
      <w:t xml:space="preserve">Committee </w:t>
    </w:r>
    <w:r w:rsidRPr="00C64223">
      <w:rPr>
        <w:rFonts w:ascii="Arial" w:eastAsia="Times New Roman" w:hAnsi="Arial" w:cs="Arial"/>
        <w:color w:val="3C4245"/>
        <w:sz w:val="24"/>
        <w:szCs w:val="24"/>
        <w:lang w:eastAsia="es-MX"/>
      </w:rPr>
      <w:t>on Economic, Social and Cultural Rights, General comment No. 20, Non-discrimination in economic, social and cultural rights; 2009.</w:t>
    </w:r>
  </w:p>
  <w:p w:rsidR="009D637B" w:rsidRDefault="009D637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37B" w:rsidRDefault="009D637B" w:rsidP="009D637B"/>
  <w:p w:rsidR="009D637B" w:rsidRDefault="009D637B" w:rsidP="009D637B">
    <w:pPr>
      <w:spacing w:line="276" w:lineRule="auto"/>
      <w:rPr>
        <w:rFonts w:ascii="Arial" w:eastAsia="Times New Roman" w:hAnsi="Arial" w:cs="Arial"/>
        <w:color w:val="3C4245"/>
        <w:sz w:val="24"/>
        <w:szCs w:val="24"/>
        <w:lang w:eastAsia="es-MX"/>
      </w:rPr>
    </w:pPr>
    <w:r>
      <w:t>Citas textuales.</w:t>
    </w:r>
    <w:r w:rsidRPr="00C64223">
      <w:rPr>
        <w:rFonts w:ascii="Arial" w:eastAsia="Times New Roman" w:hAnsi="Arial" w:cs="Arial"/>
        <w:b/>
        <w:bCs/>
        <w:color w:val="3C4245"/>
        <w:sz w:val="24"/>
        <w:szCs w:val="24"/>
        <w:vertAlign w:val="superscript"/>
        <w:lang w:eastAsia="es-MX"/>
      </w:rPr>
      <w:t xml:space="preserve"> 1</w:t>
    </w:r>
    <w:r w:rsidRPr="00C64223">
      <w:rPr>
        <w:rFonts w:ascii="Arial" w:eastAsia="Times New Roman" w:hAnsi="Arial" w:cs="Arial"/>
        <w:color w:val="3C4245"/>
        <w:sz w:val="24"/>
        <w:szCs w:val="24"/>
        <w:lang w:eastAsia="es-MX"/>
      </w:rPr>
      <w:t xml:space="preserve">Committee </w:t>
    </w:r>
    <w:r w:rsidRPr="00C64223">
      <w:rPr>
        <w:rFonts w:ascii="Arial" w:eastAsia="Times New Roman" w:hAnsi="Arial" w:cs="Arial"/>
        <w:color w:val="3C4245"/>
        <w:sz w:val="24"/>
        <w:szCs w:val="24"/>
        <w:lang w:eastAsia="es-MX"/>
      </w:rPr>
      <w:t>on Economic, Social and Cultural Rights, General comment No. 20, Non-discrimination in economic, social and cultural rights; 2009.</w:t>
    </w:r>
  </w:p>
  <w:p w:rsidR="009D637B" w:rsidRDefault="009D63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637B" w:rsidRDefault="009D637B" w:rsidP="009D637B">
      <w:pPr>
        <w:spacing w:after="0" w:line="240" w:lineRule="auto"/>
      </w:pPr>
      <w:r>
        <w:separator/>
      </w:r>
    </w:p>
  </w:footnote>
  <w:footnote w:type="continuationSeparator" w:id="0">
    <w:p w:rsidR="009D637B" w:rsidRDefault="009D637B" w:rsidP="009D6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131F"/>
    <w:multiLevelType w:val="multilevel"/>
    <w:tmpl w:val="90B4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D7BB5"/>
    <w:multiLevelType w:val="multilevel"/>
    <w:tmpl w:val="693C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25BCE"/>
    <w:multiLevelType w:val="multilevel"/>
    <w:tmpl w:val="48E6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045CB6"/>
    <w:multiLevelType w:val="multilevel"/>
    <w:tmpl w:val="F184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596303">
    <w:abstractNumId w:val="0"/>
  </w:num>
  <w:num w:numId="2" w16cid:durableId="2088305785">
    <w:abstractNumId w:val="2"/>
  </w:num>
  <w:num w:numId="3" w16cid:durableId="52897895">
    <w:abstractNumId w:val="3"/>
  </w:num>
  <w:num w:numId="4" w16cid:durableId="180947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C0"/>
    <w:rsid w:val="000930A8"/>
    <w:rsid w:val="00383BC0"/>
    <w:rsid w:val="00543C7F"/>
    <w:rsid w:val="00741822"/>
    <w:rsid w:val="008D2150"/>
    <w:rsid w:val="008F37A5"/>
    <w:rsid w:val="009D637B"/>
    <w:rsid w:val="00A33AAA"/>
    <w:rsid w:val="00A52422"/>
    <w:rsid w:val="00B24401"/>
    <w:rsid w:val="00C64223"/>
    <w:rsid w:val="00DB7819"/>
    <w:rsid w:val="00E018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9F6B504-E859-48D1-B570-81823E4A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63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637B"/>
  </w:style>
  <w:style w:type="paragraph" w:styleId="Piedepgina">
    <w:name w:val="footer"/>
    <w:basedOn w:val="Normal"/>
    <w:link w:val="PiedepginaCar"/>
    <w:uiPriority w:val="99"/>
    <w:unhideWhenUsed/>
    <w:rsid w:val="009D63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0171">
      <w:bodyDiv w:val="1"/>
      <w:marLeft w:val="0"/>
      <w:marRight w:val="0"/>
      <w:marTop w:val="0"/>
      <w:marBottom w:val="0"/>
      <w:divBdr>
        <w:top w:val="none" w:sz="0" w:space="0" w:color="auto"/>
        <w:left w:val="none" w:sz="0" w:space="0" w:color="auto"/>
        <w:bottom w:val="none" w:sz="0" w:space="0" w:color="auto"/>
        <w:right w:val="none" w:sz="0" w:space="0" w:color="auto"/>
      </w:divBdr>
    </w:div>
    <w:div w:id="1178695068">
      <w:bodyDiv w:val="1"/>
      <w:marLeft w:val="0"/>
      <w:marRight w:val="0"/>
      <w:marTop w:val="0"/>
      <w:marBottom w:val="0"/>
      <w:divBdr>
        <w:top w:val="none" w:sz="0" w:space="0" w:color="auto"/>
        <w:left w:val="none" w:sz="0" w:space="0" w:color="auto"/>
        <w:bottom w:val="none" w:sz="0" w:space="0" w:color="auto"/>
        <w:right w:val="none" w:sz="0" w:space="0" w:color="auto"/>
      </w:divBdr>
      <w:divsChild>
        <w:div w:id="278923479">
          <w:marLeft w:val="0"/>
          <w:marRight w:val="0"/>
          <w:marTop w:val="0"/>
          <w:marBottom w:val="0"/>
          <w:divBdr>
            <w:top w:val="none" w:sz="0" w:space="0" w:color="auto"/>
            <w:left w:val="none" w:sz="0" w:space="0" w:color="auto"/>
            <w:bottom w:val="none" w:sz="0" w:space="0" w:color="auto"/>
            <w:right w:val="none" w:sz="0" w:space="0" w:color="auto"/>
          </w:divBdr>
        </w:div>
      </w:divsChild>
    </w:div>
    <w:div w:id="1967201252">
      <w:bodyDiv w:val="1"/>
      <w:marLeft w:val="0"/>
      <w:marRight w:val="0"/>
      <w:marTop w:val="0"/>
      <w:marBottom w:val="0"/>
      <w:divBdr>
        <w:top w:val="none" w:sz="0" w:space="0" w:color="auto"/>
        <w:left w:val="none" w:sz="0" w:space="0" w:color="auto"/>
        <w:bottom w:val="none" w:sz="0" w:space="0" w:color="auto"/>
        <w:right w:val="none" w:sz="0" w:space="0" w:color="auto"/>
      </w:divBdr>
      <w:divsChild>
        <w:div w:id="187958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1637</Words>
  <Characters>9008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Galia Rodas</cp:lastModifiedBy>
  <cp:revision>2</cp:revision>
  <dcterms:created xsi:type="dcterms:W3CDTF">2023-01-27T19:37:00Z</dcterms:created>
  <dcterms:modified xsi:type="dcterms:W3CDTF">2023-01-27T19:37:00Z</dcterms:modified>
</cp:coreProperties>
</file>