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55F8F" w14:textId="07FE9E4B" w:rsidR="00DC5C84" w:rsidRDefault="00651ACF">
      <w:r>
        <w:rPr>
          <w:noProof/>
        </w:rPr>
        <w:drawing>
          <wp:anchor distT="0" distB="0" distL="114300" distR="114300" simplePos="0" relativeHeight="251661312" behindDoc="0" locked="0" layoutInCell="1" allowOverlap="1" wp14:anchorId="5CE72F4E" wp14:editId="2063F5E8">
            <wp:simplePos x="0" y="0"/>
            <wp:positionH relativeFrom="rightMargin">
              <wp:align>left</wp:align>
            </wp:positionH>
            <wp:positionV relativeFrom="page">
              <wp:align>top</wp:align>
            </wp:positionV>
            <wp:extent cx="885825" cy="838200"/>
            <wp:effectExtent l="0" t="0" r="9525" b="0"/>
            <wp:wrapSquare wrapText="bothSides"/>
            <wp:docPr id="2" name="Imagen 2" descr="Sub 20 - Página Oficial de la Liga Mexicana del Fút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b 20 - Página Oficial de la Liga Mexicana del Fútbol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F786B34" wp14:editId="46D01F4B">
            <wp:simplePos x="0" y="0"/>
            <wp:positionH relativeFrom="leftMargin">
              <wp:align>right</wp:align>
            </wp:positionH>
            <wp:positionV relativeFrom="page">
              <wp:align>top</wp:align>
            </wp:positionV>
            <wp:extent cx="885825" cy="838200"/>
            <wp:effectExtent l="0" t="0" r="9525" b="0"/>
            <wp:wrapSquare wrapText="bothSides"/>
            <wp:docPr id="1" name="Imagen 1" descr="Sub 20 - Página Oficial de la Liga Mexicana del Fút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b 20 - Página Oficial de la Liga Mexicana del Fútbol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BB587D" w14:textId="3AE08D07" w:rsidR="00651ACF" w:rsidRDefault="00651ACF" w:rsidP="00651ACF">
      <w:pPr>
        <w:jc w:val="center"/>
        <w:rPr>
          <w:rFonts w:ascii="Arial" w:hAnsi="Arial" w:cs="Arial"/>
          <w:sz w:val="32"/>
          <w:szCs w:val="32"/>
        </w:rPr>
      </w:pPr>
      <w:r w:rsidRPr="0009171A">
        <w:rPr>
          <w:rFonts w:ascii="Arial" w:hAnsi="Arial" w:cs="Arial"/>
          <w:sz w:val="32"/>
          <w:szCs w:val="32"/>
        </w:rPr>
        <w:t xml:space="preserve">MATERIA: </w:t>
      </w:r>
      <w:r w:rsidR="00294806">
        <w:rPr>
          <w:rFonts w:ascii="Arial" w:hAnsi="Arial" w:cs="Arial"/>
          <w:sz w:val="32"/>
          <w:szCs w:val="32"/>
        </w:rPr>
        <w:t>BIOQUÍMICA</w:t>
      </w:r>
    </w:p>
    <w:p w14:paraId="538F0E4C" w14:textId="77777777" w:rsidR="00294806" w:rsidRPr="0009171A" w:rsidRDefault="00294806" w:rsidP="00651ACF">
      <w:pPr>
        <w:jc w:val="center"/>
        <w:rPr>
          <w:rFonts w:ascii="Arial" w:hAnsi="Arial" w:cs="Arial"/>
          <w:sz w:val="32"/>
          <w:szCs w:val="32"/>
        </w:rPr>
      </w:pPr>
    </w:p>
    <w:p w14:paraId="593E7BCA" w14:textId="773D1920" w:rsidR="00651ACF" w:rsidRPr="0009171A" w:rsidRDefault="00651ACF" w:rsidP="00651ACF">
      <w:pPr>
        <w:jc w:val="center"/>
        <w:rPr>
          <w:rFonts w:ascii="Arial" w:hAnsi="Arial" w:cs="Arial"/>
          <w:sz w:val="32"/>
          <w:szCs w:val="32"/>
        </w:rPr>
      </w:pPr>
      <w:r w:rsidRPr="0009171A">
        <w:rPr>
          <w:rFonts w:ascii="Arial" w:hAnsi="Arial" w:cs="Arial"/>
          <w:sz w:val="32"/>
          <w:szCs w:val="32"/>
        </w:rPr>
        <w:t xml:space="preserve">DOCENTE: </w:t>
      </w:r>
      <w:r>
        <w:rPr>
          <w:rFonts w:ascii="Arial" w:hAnsi="Arial" w:cs="Arial"/>
          <w:sz w:val="32"/>
          <w:szCs w:val="32"/>
        </w:rPr>
        <w:t xml:space="preserve">MVZ </w:t>
      </w:r>
      <w:r w:rsidR="00DA1BC8">
        <w:rPr>
          <w:rFonts w:ascii="Arial" w:hAnsi="Arial" w:cs="Arial"/>
          <w:sz w:val="32"/>
          <w:szCs w:val="32"/>
        </w:rPr>
        <w:t>JOSÉ LUIS FLORES GUTIÉRREZ</w:t>
      </w:r>
    </w:p>
    <w:p w14:paraId="4D1FE00E" w14:textId="77777777" w:rsidR="00651ACF" w:rsidRPr="0009171A" w:rsidRDefault="00651ACF" w:rsidP="00651ACF">
      <w:pPr>
        <w:jc w:val="center"/>
        <w:rPr>
          <w:rFonts w:ascii="Arial" w:hAnsi="Arial" w:cs="Arial"/>
          <w:sz w:val="32"/>
          <w:szCs w:val="32"/>
        </w:rPr>
      </w:pPr>
    </w:p>
    <w:p w14:paraId="5AE35399" w14:textId="77777777" w:rsidR="00651ACF" w:rsidRPr="0009171A" w:rsidRDefault="00651ACF" w:rsidP="00651ACF">
      <w:pPr>
        <w:jc w:val="center"/>
        <w:rPr>
          <w:rFonts w:ascii="Arial" w:hAnsi="Arial" w:cs="Arial"/>
          <w:sz w:val="32"/>
          <w:szCs w:val="32"/>
        </w:rPr>
      </w:pPr>
      <w:r w:rsidRPr="0009171A">
        <w:rPr>
          <w:rFonts w:ascii="Arial" w:hAnsi="Arial" w:cs="Arial"/>
          <w:sz w:val="32"/>
          <w:szCs w:val="32"/>
        </w:rPr>
        <w:t>ALUMNO: ALEJANDRO DANIEL ALVAREZ VÁZQUEZ</w:t>
      </w:r>
    </w:p>
    <w:p w14:paraId="5E0AFE9B" w14:textId="77777777" w:rsidR="00651ACF" w:rsidRPr="0009171A" w:rsidRDefault="00651ACF" w:rsidP="00651ACF">
      <w:pPr>
        <w:jc w:val="center"/>
        <w:rPr>
          <w:rFonts w:ascii="Arial" w:hAnsi="Arial" w:cs="Arial"/>
          <w:sz w:val="32"/>
          <w:szCs w:val="32"/>
        </w:rPr>
      </w:pPr>
    </w:p>
    <w:p w14:paraId="66D65AF8" w14:textId="7B5A3D2A" w:rsidR="00651ACF" w:rsidRPr="0009171A" w:rsidRDefault="00651ACF" w:rsidP="00651ACF">
      <w:pPr>
        <w:jc w:val="center"/>
        <w:rPr>
          <w:rFonts w:ascii="Arial" w:hAnsi="Arial" w:cs="Arial"/>
          <w:sz w:val="32"/>
          <w:szCs w:val="32"/>
        </w:rPr>
      </w:pPr>
      <w:r w:rsidRPr="0009171A">
        <w:rPr>
          <w:rFonts w:ascii="Arial" w:hAnsi="Arial" w:cs="Arial"/>
          <w:sz w:val="32"/>
          <w:szCs w:val="32"/>
        </w:rPr>
        <w:t xml:space="preserve">TEMA: </w:t>
      </w:r>
      <w:r w:rsidR="00DA1BC8">
        <w:rPr>
          <w:rFonts w:ascii="Arial" w:hAnsi="Arial" w:cs="Arial"/>
          <w:sz w:val="32"/>
          <w:szCs w:val="32"/>
        </w:rPr>
        <w:t>CARBOHIDRATOS</w:t>
      </w:r>
    </w:p>
    <w:p w14:paraId="486CD40E" w14:textId="77777777" w:rsidR="00651ACF" w:rsidRPr="0009171A" w:rsidRDefault="00651ACF" w:rsidP="00651ACF">
      <w:pPr>
        <w:jc w:val="center"/>
        <w:rPr>
          <w:rFonts w:ascii="Arial" w:hAnsi="Arial" w:cs="Arial"/>
          <w:sz w:val="32"/>
          <w:szCs w:val="32"/>
        </w:rPr>
      </w:pPr>
    </w:p>
    <w:p w14:paraId="120FEF83" w14:textId="77777777" w:rsidR="00651ACF" w:rsidRPr="0009171A" w:rsidRDefault="00651ACF" w:rsidP="00651AC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TERCER</w:t>
      </w:r>
      <w:r w:rsidRPr="0009171A">
        <w:rPr>
          <w:rFonts w:ascii="Arial" w:hAnsi="Arial" w:cs="Arial"/>
          <w:sz w:val="32"/>
          <w:szCs w:val="32"/>
        </w:rPr>
        <w:t xml:space="preserve"> PARCIAL</w:t>
      </w:r>
    </w:p>
    <w:p w14:paraId="08642094" w14:textId="77777777" w:rsidR="00651ACF" w:rsidRPr="0009171A" w:rsidRDefault="00651ACF" w:rsidP="00651ACF">
      <w:pPr>
        <w:jc w:val="center"/>
        <w:rPr>
          <w:rFonts w:ascii="Arial" w:hAnsi="Arial" w:cs="Arial"/>
          <w:sz w:val="32"/>
          <w:szCs w:val="32"/>
        </w:rPr>
      </w:pPr>
    </w:p>
    <w:p w14:paraId="044272C9" w14:textId="77777777" w:rsidR="00651ACF" w:rsidRPr="0009171A" w:rsidRDefault="00651ACF" w:rsidP="00651ACF">
      <w:pPr>
        <w:jc w:val="center"/>
        <w:rPr>
          <w:rFonts w:ascii="Arial" w:hAnsi="Arial" w:cs="Arial"/>
          <w:sz w:val="32"/>
          <w:szCs w:val="32"/>
        </w:rPr>
      </w:pPr>
      <w:r w:rsidRPr="0009171A">
        <w:rPr>
          <w:rFonts w:ascii="Arial" w:hAnsi="Arial" w:cs="Arial"/>
          <w:sz w:val="32"/>
          <w:szCs w:val="32"/>
        </w:rPr>
        <w:t>TUXTLA GUTIERREZ, CHIS.</w:t>
      </w:r>
    </w:p>
    <w:p w14:paraId="043A3229" w14:textId="77777777" w:rsidR="00651ACF" w:rsidRPr="0009171A" w:rsidRDefault="00651ACF" w:rsidP="00651ACF">
      <w:pPr>
        <w:jc w:val="center"/>
        <w:rPr>
          <w:rFonts w:ascii="Arial" w:hAnsi="Arial" w:cs="Arial"/>
          <w:sz w:val="32"/>
          <w:szCs w:val="32"/>
        </w:rPr>
      </w:pPr>
    </w:p>
    <w:p w14:paraId="47A2F7A8" w14:textId="77777777" w:rsidR="00651ACF" w:rsidRPr="0009171A" w:rsidRDefault="00651ACF" w:rsidP="00651AC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NOVIEMBRE 13</w:t>
      </w:r>
      <w:r w:rsidRPr="0009171A">
        <w:rPr>
          <w:rFonts w:ascii="Arial" w:hAnsi="Arial" w:cs="Arial"/>
          <w:sz w:val="32"/>
          <w:szCs w:val="32"/>
        </w:rPr>
        <w:t>, 2022</w:t>
      </w:r>
    </w:p>
    <w:p w14:paraId="0775D4AD" w14:textId="4E6C98A2" w:rsidR="00651ACF" w:rsidRDefault="00651ACF"/>
    <w:p w14:paraId="37286A00" w14:textId="2477521A" w:rsidR="00651ACF" w:rsidRDefault="00651ACF"/>
    <w:p w14:paraId="10956998" w14:textId="4F009DE5" w:rsidR="00651ACF" w:rsidRDefault="00651ACF"/>
    <w:p w14:paraId="65B64470" w14:textId="1C6C6C42" w:rsidR="00651ACF" w:rsidRDefault="00651ACF"/>
    <w:p w14:paraId="0681E537" w14:textId="176FCC8F" w:rsidR="00651ACF" w:rsidRDefault="00DC0E96">
      <w:r w:rsidRPr="00DC0E96"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3EB3BA4F" wp14:editId="50F475A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8366125" cy="632460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6125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751E35" w14:textId="04533AA9" w:rsidR="00651ACF" w:rsidRDefault="00DC0E96">
      <w:r w:rsidRPr="00DC0E96"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3379A1B5" wp14:editId="1D45C85F">
            <wp:simplePos x="0" y="0"/>
            <wp:positionH relativeFrom="margin">
              <wp:align>left</wp:align>
            </wp:positionH>
            <wp:positionV relativeFrom="page">
              <wp:posOffset>180975</wp:posOffset>
            </wp:positionV>
            <wp:extent cx="8375015" cy="6248400"/>
            <wp:effectExtent l="0" t="0" r="6985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5015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9C2847" w14:textId="57E328E7" w:rsidR="00651ACF" w:rsidRDefault="005060EA">
      <w:r w:rsidRPr="005060EA"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40A51D6E" wp14:editId="178FD7B7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8679180" cy="6499225"/>
            <wp:effectExtent l="0" t="0" r="762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9180" cy="649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090FED" w14:textId="4AF05F18" w:rsidR="00651ACF" w:rsidRDefault="00F338BC" w:rsidP="00F338BC">
      <w:pPr>
        <w:jc w:val="center"/>
        <w:rPr>
          <w:rFonts w:ascii="Arial" w:hAnsi="Arial" w:cs="Arial"/>
          <w:sz w:val="32"/>
          <w:szCs w:val="32"/>
        </w:rPr>
      </w:pPr>
      <w:r w:rsidRPr="00F338BC">
        <w:rPr>
          <w:rFonts w:ascii="Arial" w:hAnsi="Arial" w:cs="Arial"/>
          <w:sz w:val="32"/>
          <w:szCs w:val="32"/>
        </w:rPr>
        <w:lastRenderedPageBreak/>
        <w:t>GLUCÓLISIS</w:t>
      </w:r>
    </w:p>
    <w:p w14:paraId="027D0898" w14:textId="11BF5FC7" w:rsidR="00F338BC" w:rsidRDefault="00F338BC" w:rsidP="00F338BC">
      <w:pPr>
        <w:jc w:val="center"/>
        <w:rPr>
          <w:rFonts w:ascii="Arial" w:hAnsi="Arial" w:cs="Arial"/>
          <w:sz w:val="32"/>
          <w:szCs w:val="32"/>
        </w:rPr>
      </w:pPr>
    </w:p>
    <w:p w14:paraId="75C9FD61" w14:textId="006C9339" w:rsidR="00F338BC" w:rsidRPr="00F338BC" w:rsidRDefault="00C5022D" w:rsidP="00F338B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F338BC" w:rsidRPr="00F338BC">
        <w:rPr>
          <w:rFonts w:ascii="Arial" w:hAnsi="Arial" w:cs="Arial"/>
          <w:sz w:val="24"/>
          <w:szCs w:val="24"/>
        </w:rPr>
        <w:t>uta metabólica, formada por diez reacciones enzimáticas, mediante la que se degrada una molécula de glucosa hasta dos moléculas de piruvato, además de producir energía en forma de ATP y de NADH. Es una ruta metabólica universalmente distribuida en todos los organismos y células. Su función es la degradación de glucosa y otros monosacáridos para la obtención de energía.</w:t>
      </w:r>
    </w:p>
    <w:p w14:paraId="6A0FECA4" w14:textId="77777777" w:rsidR="00C5022D" w:rsidRPr="00C5022D" w:rsidRDefault="00C5022D" w:rsidP="00C5022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5022D">
        <w:rPr>
          <w:rFonts w:ascii="Arial" w:hAnsi="Arial" w:cs="Arial"/>
          <w:sz w:val="24"/>
          <w:szCs w:val="24"/>
        </w:rPr>
        <w:t>- Fases:</w:t>
      </w:r>
    </w:p>
    <w:p w14:paraId="23E7454B" w14:textId="2F625493" w:rsidR="00C5022D" w:rsidRPr="00C5022D" w:rsidRDefault="00C5022D" w:rsidP="00C5022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5022D">
        <w:rPr>
          <w:rFonts w:ascii="Arial" w:hAnsi="Arial" w:cs="Arial"/>
          <w:sz w:val="24"/>
          <w:szCs w:val="24"/>
        </w:rPr>
        <w:t xml:space="preserve"> a) Preparatoria: Cuatro reacciones: dos son de fosforilación y consumen 2 ATP por molécula de glucosa.</w:t>
      </w:r>
    </w:p>
    <w:p w14:paraId="6484645E" w14:textId="477F5B4B" w:rsidR="00C5022D" w:rsidRPr="00C5022D" w:rsidRDefault="00C5022D" w:rsidP="00C5022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5022D">
        <w:rPr>
          <w:rFonts w:ascii="Arial" w:hAnsi="Arial" w:cs="Arial"/>
          <w:sz w:val="24"/>
          <w:szCs w:val="24"/>
        </w:rPr>
        <w:t xml:space="preserve"> b) la ruptura de la hexosa produce 2 triosas, que acaban en 2 moléculas de gliceraldehido-3-P.</w:t>
      </w:r>
    </w:p>
    <w:p w14:paraId="3E19CBDF" w14:textId="51F61F5E" w:rsidR="00651ACF" w:rsidRPr="00C5022D" w:rsidRDefault="00C5022D" w:rsidP="00C5022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5022D">
        <w:rPr>
          <w:rFonts w:ascii="Arial" w:hAnsi="Arial" w:cs="Arial"/>
          <w:sz w:val="24"/>
          <w:szCs w:val="24"/>
        </w:rPr>
        <w:t>c) De beneficios: Oxidación del gliceraldehido-3-fosfato (x 2) hasta piruvato (x 2) y formación acoplada de ATP en 2 de las reacciones, en total se forman 4 ATP y 2 NADH.</w:t>
      </w:r>
    </w:p>
    <w:p w14:paraId="19F1A25B" w14:textId="6A1E323C" w:rsidR="00651ACF" w:rsidRPr="00C5022D" w:rsidRDefault="00A50F40" w:rsidP="00C5022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3D35C36A" wp14:editId="237A26E1">
            <wp:simplePos x="0" y="0"/>
            <wp:positionH relativeFrom="margin">
              <wp:align>left</wp:align>
            </wp:positionH>
            <wp:positionV relativeFrom="margin">
              <wp:posOffset>3044899</wp:posOffset>
            </wp:positionV>
            <wp:extent cx="8039595" cy="3740025"/>
            <wp:effectExtent l="0" t="0" r="0" b="0"/>
            <wp:wrapNone/>
            <wp:docPr id="7" name="Imagen 7" descr="Dr. Alberto Sanagustín : Glucólisis: paso a pa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. Alberto Sanagustín : Glucólisis: paso a pas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595" cy="374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EB47E3" w14:textId="7F60CE8C" w:rsidR="00651ACF" w:rsidRDefault="00651ACF"/>
    <w:p w14:paraId="7E3DF8C8" w14:textId="2A7E05D9" w:rsidR="00651ACF" w:rsidRDefault="00651ACF"/>
    <w:p w14:paraId="3FB30C9B" w14:textId="290E7D5A" w:rsidR="00651ACF" w:rsidRDefault="00651ACF"/>
    <w:p w14:paraId="78516216" w14:textId="652CEB10" w:rsidR="00651ACF" w:rsidRDefault="00651ACF"/>
    <w:p w14:paraId="0742B56F" w14:textId="25371707" w:rsidR="00651ACF" w:rsidRDefault="00651ACF"/>
    <w:p w14:paraId="4D7B27C2" w14:textId="1D3B7C9B" w:rsidR="00651ACF" w:rsidRDefault="00651ACF"/>
    <w:p w14:paraId="0AECC637" w14:textId="387CED2B" w:rsidR="00651ACF" w:rsidRDefault="00651ACF"/>
    <w:p w14:paraId="2BA36583" w14:textId="367A12BB" w:rsidR="00651ACF" w:rsidRDefault="00651ACF"/>
    <w:p w14:paraId="042D55FF" w14:textId="7E48F1E8" w:rsidR="00651ACF" w:rsidRDefault="00651ACF"/>
    <w:p w14:paraId="34B09433" w14:textId="2FCE03E6" w:rsidR="00651ACF" w:rsidRDefault="00A50F40" w:rsidP="00A50F40">
      <w:pPr>
        <w:jc w:val="center"/>
        <w:rPr>
          <w:rFonts w:ascii="Arial" w:hAnsi="Arial" w:cs="Arial"/>
          <w:sz w:val="32"/>
          <w:szCs w:val="32"/>
        </w:rPr>
      </w:pPr>
      <w:r w:rsidRPr="00A50F40">
        <w:rPr>
          <w:rFonts w:ascii="Arial" w:hAnsi="Arial" w:cs="Arial"/>
          <w:sz w:val="32"/>
          <w:szCs w:val="32"/>
        </w:rPr>
        <w:lastRenderedPageBreak/>
        <w:t>GLUCONEOGÉNESIS</w:t>
      </w:r>
    </w:p>
    <w:p w14:paraId="0D784B1A" w14:textId="5AE5CEEE" w:rsidR="00A50F40" w:rsidRDefault="00A50F40" w:rsidP="00A50F40">
      <w:pPr>
        <w:jc w:val="center"/>
        <w:rPr>
          <w:rFonts w:ascii="Arial" w:hAnsi="Arial" w:cs="Arial"/>
          <w:sz w:val="32"/>
          <w:szCs w:val="32"/>
        </w:rPr>
      </w:pPr>
    </w:p>
    <w:p w14:paraId="3D4059ED" w14:textId="42B17F4C" w:rsidR="00A50F40" w:rsidRPr="00A50F40" w:rsidRDefault="00964F13" w:rsidP="00964F13">
      <w:pPr>
        <w:spacing w:line="276" w:lineRule="auto"/>
        <w:jc w:val="both"/>
        <w:rPr>
          <w:rFonts w:ascii="Arial" w:hAnsi="Arial" w:cs="Arial"/>
          <w:sz w:val="32"/>
          <w:szCs w:val="32"/>
        </w:rPr>
      </w:pPr>
      <w:r w:rsidRPr="00964F13">
        <w:rPr>
          <w:rFonts w:ascii="Arial" w:hAnsi="Arial" w:cs="Arial"/>
          <w:sz w:val="24"/>
          <w:szCs w:val="24"/>
        </w:rPr>
        <w:t>proceso de síntesis de glucosa a partir de precursores que no son carbohidratos. En la gluconeogénesis el piruvato se convierte en glucosa. Los precursores de la glucosa, no carbohidratos, se convierten primero en piruvato o entran en la vía en intermediarios posteriores, como el oxalacetato y la dihidroxiacetona fosfato. Los principales precursores son el lactato, los aminoácidos y el glicerol</w:t>
      </w:r>
      <w:r>
        <w:t>.</w:t>
      </w:r>
    </w:p>
    <w:p w14:paraId="24D839EF" w14:textId="71CF99EF" w:rsidR="00651ACF" w:rsidRDefault="00651ACF"/>
    <w:p w14:paraId="48ADF3AD" w14:textId="72E924A1" w:rsidR="00651ACF" w:rsidRDefault="00651ACF"/>
    <w:p w14:paraId="032EAF87" w14:textId="7C081A54" w:rsidR="00651ACF" w:rsidRDefault="00964F13">
      <w:r>
        <w:rPr>
          <w:noProof/>
        </w:rPr>
        <w:drawing>
          <wp:anchor distT="0" distB="0" distL="114300" distR="114300" simplePos="0" relativeHeight="251666432" behindDoc="0" locked="0" layoutInCell="1" allowOverlap="1" wp14:anchorId="5086481C" wp14:editId="314693BC">
            <wp:simplePos x="0" y="0"/>
            <wp:positionH relativeFrom="column">
              <wp:posOffset>1626804</wp:posOffset>
            </wp:positionH>
            <wp:positionV relativeFrom="page">
              <wp:posOffset>3170580</wp:posOffset>
            </wp:positionV>
            <wp:extent cx="4892040" cy="3667760"/>
            <wp:effectExtent l="0" t="0" r="3810" b="889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040" cy="366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AD1855" w14:textId="1D23449A" w:rsidR="00651ACF" w:rsidRDefault="00651ACF"/>
    <w:p w14:paraId="277C6ACC" w14:textId="65D6C9C9" w:rsidR="00651ACF" w:rsidRDefault="00651ACF"/>
    <w:p w14:paraId="590D2003" w14:textId="67920A26" w:rsidR="00651ACF" w:rsidRDefault="00651ACF"/>
    <w:p w14:paraId="689C45B2" w14:textId="4E2A9B19" w:rsidR="00651ACF" w:rsidRDefault="00651ACF"/>
    <w:p w14:paraId="538CFB54" w14:textId="629298E9" w:rsidR="00651ACF" w:rsidRDefault="00651ACF"/>
    <w:p w14:paraId="2D0102DB" w14:textId="1AD747BB" w:rsidR="00651ACF" w:rsidRDefault="00651ACF"/>
    <w:p w14:paraId="4FE77EF0" w14:textId="7EFDAB41" w:rsidR="00651ACF" w:rsidRDefault="00651ACF"/>
    <w:p w14:paraId="649FD64B" w14:textId="62ECFAD9" w:rsidR="00651ACF" w:rsidRDefault="00651ACF"/>
    <w:p w14:paraId="38603D7C" w14:textId="5F23920A" w:rsidR="00651ACF" w:rsidRDefault="00651ACF"/>
    <w:p w14:paraId="72A67B39" w14:textId="77D221A1" w:rsidR="00651ACF" w:rsidRDefault="00651ACF"/>
    <w:p w14:paraId="53611B4B" w14:textId="4F60E52F" w:rsidR="00651ACF" w:rsidRDefault="00651ACF"/>
    <w:p w14:paraId="35DD948E" w14:textId="323966EC" w:rsidR="00651ACF" w:rsidRDefault="00651ACF">
      <w:pPr>
        <w:sectPr w:rsidR="00651ACF" w:rsidSect="00D33234">
          <w:type w:val="continuous"/>
          <w:pgSz w:w="15840" w:h="12240" w:orient="landscape"/>
          <w:pgMar w:top="1440" w:right="1440" w:bottom="1440" w:left="1440" w:header="709" w:footer="709" w:gutter="0"/>
          <w:cols w:space="720"/>
          <w:docGrid w:linePitch="360"/>
        </w:sect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104403534"/>
        <w:docPartObj>
          <w:docPartGallery w:val="Bibliographies"/>
          <w:docPartUnique/>
        </w:docPartObj>
      </w:sdtPr>
      <w:sdtEndPr>
        <w:rPr>
          <w:lang w:val="es-MX"/>
        </w:rPr>
      </w:sdtEndPr>
      <w:sdtContent>
        <w:p w14:paraId="1394950D" w14:textId="33759AD3" w:rsidR="00651ACF" w:rsidRDefault="00651ACF">
          <w:pPr>
            <w:pStyle w:val="Ttulo1"/>
          </w:pPr>
          <w:r>
            <w:rPr>
              <w:lang w:val="es-ES"/>
            </w:rPr>
            <w:t>Bibliografía</w:t>
          </w:r>
        </w:p>
        <w:sdt>
          <w:sdtPr>
            <w:id w:val="111145805"/>
            <w:bibliography/>
          </w:sdtPr>
          <w:sdtEndPr/>
          <w:sdtContent>
            <w:p w14:paraId="2B648B11" w14:textId="77777777" w:rsidR="00964F13" w:rsidRDefault="00651ACF" w:rsidP="00964F13">
              <w:pPr>
                <w:pStyle w:val="Bibliografa"/>
                <w:ind w:left="720" w:hanging="720"/>
                <w:rPr>
                  <w:noProof/>
                  <w:sz w:val="24"/>
                  <w:szCs w:val="24"/>
                  <w:lang w:val="es-ES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 w:rsidR="00964F13">
                <w:rPr>
                  <w:noProof/>
                  <w:lang w:val="es-ES"/>
                </w:rPr>
                <w:t xml:space="preserve">anónimo. (9 de junio de 2021). </w:t>
              </w:r>
              <w:r w:rsidR="00964F13">
                <w:rPr>
                  <w:i/>
                  <w:iCs/>
                  <w:noProof/>
                  <w:lang w:val="es-ES"/>
                </w:rPr>
                <w:t>Biología- Gluconeogeénesis.</w:t>
              </w:r>
              <w:r w:rsidR="00964F13">
                <w:rPr>
                  <w:noProof/>
                  <w:lang w:val="es-ES"/>
                </w:rPr>
                <w:t xml:space="preserve"> Obtenido de http://www.pace.utalca.cl/wp-content/uploads/2021/06/Biolog%C3%ADa_10-Gluconeog%C3%A9nesis1.pdf</w:t>
              </w:r>
            </w:p>
            <w:p w14:paraId="4B37DD12" w14:textId="77777777" w:rsidR="00964F13" w:rsidRDefault="00964F13" w:rsidP="00964F13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José. (19 de mayo de 2020). </w:t>
              </w:r>
              <w:r>
                <w:rPr>
                  <w:i/>
                  <w:iCs/>
                  <w:noProof/>
                  <w:lang w:val="es-ES"/>
                </w:rPr>
                <w:t>alimentación.</w:t>
              </w:r>
              <w:r>
                <w:rPr>
                  <w:noProof/>
                  <w:lang w:val="es-ES"/>
                </w:rPr>
                <w:t xml:space="preserve"> Obtenido de https://www.unnoba.edu.ar/wp-content/uploads/2020/05/alimentaci%C3%B3n-clase-4-archivo-2-Carbohidratos.pdf</w:t>
              </w:r>
            </w:p>
            <w:p w14:paraId="3928E9D6" w14:textId="77777777" w:rsidR="00964F13" w:rsidRDefault="00964F13" w:rsidP="00964F13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Rebolledo , L., &amp; Rebolledo, I. (20 de Febrero de 2006). </w:t>
              </w:r>
              <w:r>
                <w:rPr>
                  <w:i/>
                  <w:iCs/>
                  <w:noProof/>
                  <w:lang w:val="es-ES"/>
                </w:rPr>
                <w:t>Carbohidratos.</w:t>
              </w:r>
              <w:r>
                <w:rPr>
                  <w:noProof/>
                  <w:lang w:val="es-ES"/>
                </w:rPr>
                <w:t xml:space="preserve"> Obtenido de https://www.oatec.org.ar/oatec2020/wp-content/uploads/sites/13/2020/05/Carbohidratos-UCLA.pdf</w:t>
              </w:r>
            </w:p>
            <w:p w14:paraId="719F789A" w14:textId="77777777" w:rsidR="00964F13" w:rsidRDefault="00964F13" w:rsidP="00964F13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Tejedor, C. (28 de Junio de 2007). </w:t>
              </w:r>
              <w:r>
                <w:rPr>
                  <w:i/>
                  <w:iCs/>
                  <w:noProof/>
                  <w:lang w:val="es-ES"/>
                </w:rPr>
                <w:t>Glucólisis.</w:t>
              </w:r>
              <w:r>
                <w:rPr>
                  <w:noProof/>
                  <w:lang w:val="es-ES"/>
                </w:rPr>
                <w:t xml:space="preserve"> Obtenido de https://exa.unne.edu.ar/biologia/fisiologia.vegetal/Glucolisis.pdf</w:t>
              </w:r>
            </w:p>
            <w:p w14:paraId="4626D2AA" w14:textId="385BC3DC" w:rsidR="00651ACF" w:rsidRDefault="00651ACF" w:rsidP="00964F13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639FAEFE" w14:textId="0009213E" w:rsidR="00651ACF" w:rsidRDefault="00651ACF"/>
    <w:p w14:paraId="794CE844" w14:textId="16776102" w:rsidR="00651ACF" w:rsidRDefault="00651ACF"/>
    <w:p w14:paraId="7CD144FE" w14:textId="0350B81E" w:rsidR="00651ACF" w:rsidRDefault="00651ACF"/>
    <w:p w14:paraId="4AB4037B" w14:textId="76F66272" w:rsidR="00651ACF" w:rsidRDefault="00651ACF"/>
    <w:p w14:paraId="652B9B4F" w14:textId="54F2151E" w:rsidR="00651ACF" w:rsidRDefault="00651ACF"/>
    <w:p w14:paraId="6620FD8F" w14:textId="1AAC32BD" w:rsidR="00651ACF" w:rsidRDefault="00651ACF"/>
    <w:p w14:paraId="5B2343B1" w14:textId="72E8BEA1" w:rsidR="00651ACF" w:rsidRDefault="00651ACF"/>
    <w:p w14:paraId="65E624D1" w14:textId="491F495B" w:rsidR="00651ACF" w:rsidRDefault="00651ACF"/>
    <w:p w14:paraId="504E0352" w14:textId="5BE243C5" w:rsidR="00651ACF" w:rsidRDefault="00651ACF"/>
    <w:p w14:paraId="124EB463" w14:textId="706AE8F1" w:rsidR="00651ACF" w:rsidRDefault="00651ACF"/>
    <w:p w14:paraId="5077617B" w14:textId="0EE3964F" w:rsidR="00651ACF" w:rsidRDefault="00651ACF"/>
    <w:p w14:paraId="4C0A1A62" w14:textId="3AA2F898" w:rsidR="00651ACF" w:rsidRDefault="00651ACF"/>
    <w:p w14:paraId="1927B4A4" w14:textId="2349ADC1" w:rsidR="00651ACF" w:rsidRDefault="00651ACF"/>
    <w:p w14:paraId="5C9B851A" w14:textId="554E14EE" w:rsidR="00651ACF" w:rsidRDefault="00651ACF"/>
    <w:p w14:paraId="2F85CA2D" w14:textId="3AA9E069" w:rsidR="00651ACF" w:rsidRDefault="00651ACF"/>
    <w:p w14:paraId="22130199" w14:textId="4E31222C" w:rsidR="00651ACF" w:rsidRDefault="00651ACF"/>
    <w:p w14:paraId="4E694F8A" w14:textId="77777777" w:rsidR="00651ACF" w:rsidRDefault="00651ACF"/>
    <w:sectPr w:rsidR="00651ACF" w:rsidSect="00651ACF">
      <w:type w:val="continuous"/>
      <w:pgSz w:w="12240" w:h="15840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234"/>
    <w:rsid w:val="000611AB"/>
    <w:rsid w:val="00294806"/>
    <w:rsid w:val="005060EA"/>
    <w:rsid w:val="00651ACF"/>
    <w:rsid w:val="00964F13"/>
    <w:rsid w:val="00A50F40"/>
    <w:rsid w:val="00C5022D"/>
    <w:rsid w:val="00D33234"/>
    <w:rsid w:val="00DA1BC8"/>
    <w:rsid w:val="00DC0E96"/>
    <w:rsid w:val="00DC5C84"/>
    <w:rsid w:val="00F3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284A1"/>
  <w15:chartTrackingRefBased/>
  <w15:docId w15:val="{CCC4BECE-133C-42B1-AD96-460B3AEF8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ACF"/>
  </w:style>
  <w:style w:type="paragraph" w:styleId="Ttulo1">
    <w:name w:val="heading 1"/>
    <w:basedOn w:val="Normal"/>
    <w:next w:val="Normal"/>
    <w:link w:val="Ttulo1Car"/>
    <w:uiPriority w:val="9"/>
    <w:qFormat/>
    <w:rsid w:val="00651A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51AC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651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Reb06</b:Tag>
    <b:SourceType>DocumentFromInternetSite</b:SourceType>
    <b:Guid>{270C89AF-7FC3-4E0C-9513-8D68B255E515}</b:Guid>
    <b:Title>Carbohidratos</b:Title>
    <b:Year>2006</b:Year>
    <b:Month>Febrero</b:Month>
    <b:Day>20</b:Day>
    <b:URL>https://www.oatec.org.ar/oatec2020/wp-content/uploads/sites/13/2020/05/Carbohidratos-UCLA.pdf</b:URL>
    <b:Author>
      <b:Author>
        <b:NameList>
          <b:Person>
            <b:Last>Rebolledo </b:Last>
            <b:First>Luis</b:First>
          </b:Person>
          <b:Person>
            <b:Last>Rebolledo</b:Last>
            <b:First>Ivan</b:First>
          </b:Person>
        </b:NameList>
      </b:Author>
    </b:Author>
    <b:RefOrder>1</b:RefOrder>
  </b:Source>
  <b:Source>
    <b:Tag>Jos20</b:Tag>
    <b:SourceType>DocumentFromInternetSite</b:SourceType>
    <b:Guid>{FAEB24B6-5486-44BF-840B-96C2929632A7}</b:Guid>
    <b:Title>alimentación</b:Title>
    <b:Year>2020</b:Year>
    <b:Month>mayo</b:Month>
    <b:Day>19</b:Day>
    <b:URL>https://www.unnoba.edu.ar/wp-content/uploads/2020/05/alimentaci%C3%B3n-clase-4-archivo-2-Carbohidratos.pdf</b:URL>
    <b:Author>
      <b:Author>
        <b:NameList>
          <b:Person>
            <b:First>José</b:First>
          </b:Person>
        </b:NameList>
      </b:Author>
    </b:Author>
    <b:RefOrder>2</b:RefOrder>
  </b:Source>
  <b:Source>
    <b:Tag>Tej07</b:Tag>
    <b:SourceType>DocumentFromInternetSite</b:SourceType>
    <b:Guid>{22D115BB-0168-4ECA-B0DD-3407C82629BC}</b:Guid>
    <b:Title>Glucólisis</b:Title>
    <b:Year>2007</b:Year>
    <b:Month>Junio</b:Month>
    <b:Day>28</b:Day>
    <b:URL>https://exa.unne.edu.ar/biologia/fisiologia.vegetal/Glucolisis.pdf</b:URL>
    <b:Author>
      <b:Author>
        <b:NameList>
          <b:Person>
            <b:Last>Tejedor</b:Last>
            <b:First>Cristina</b:First>
          </b:Person>
        </b:NameList>
      </b:Author>
    </b:Author>
    <b:RefOrder>3</b:RefOrder>
  </b:Source>
  <b:Source>
    <b:Tag>anó21</b:Tag>
    <b:SourceType>DocumentFromInternetSite</b:SourceType>
    <b:Guid>{7EBE23D1-475F-4EEC-9F9A-9F1806306BBC}</b:Guid>
    <b:Title>Biología- Gluconeogeénesis</b:Title>
    <b:Year>2021</b:Year>
    <b:Month>junio</b:Month>
    <b:Day>9</b:Day>
    <b:URL>http://www.pace.utalca.cl/wp-content/uploads/2021/06/Biolog%C3%ADa_10-Gluconeog%C3%A9nesis1.pdf</b:URL>
    <b:Author>
      <b:Author>
        <b:NameList>
          <b:Person>
            <b:Last>anónimo</b:La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5ADD075B-0EAC-4076-8609-D340FBCD2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7</Pages>
  <Words>321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2022-11-13T17:08:00Z</dcterms:created>
  <dcterms:modified xsi:type="dcterms:W3CDTF">2022-11-14T04:20:00Z</dcterms:modified>
</cp:coreProperties>
</file>