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F5F" w:rsidRDefault="003A210C">
      <w:pPr>
        <w:shd w:val="clear" w:color="auto" w:fill="FFFFFF"/>
        <w:spacing w:after="0" w:line="360" w:lineRule="auto"/>
        <w:textAlignment w:val="baseline"/>
        <w:rPr>
          <w:rFonts w:ascii="Gill Sans MT" w:hAnsi="Gill Sans MT" w:cs="Times New Roman"/>
          <w:noProof/>
          <w:sz w:val="24"/>
          <w:szCs w:val="24"/>
          <w:lang w:eastAsia="es-MX"/>
        </w:rPr>
      </w:pPr>
      <w:r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02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8" cstate="print"/>
                    <a:srcRect t="24976" b="28505"/>
                    <a:stretch/>
                  </pic:blipFill>
                  <pic:spPr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F5F" w:rsidRDefault="003D7F5F">
      <w:pPr>
        <w:spacing w:line="360" w:lineRule="auto"/>
        <w:rPr>
          <w:rFonts w:ascii="Gill Sans MT" w:hAnsi="Gill Sans MT"/>
          <w:color w:val="1F4E79"/>
        </w:rPr>
      </w:pPr>
    </w:p>
    <w:p w:rsidR="003D7F5F" w:rsidRDefault="003D7F5F">
      <w:pPr>
        <w:spacing w:line="360" w:lineRule="auto"/>
        <w:rPr>
          <w:rFonts w:ascii="Gill Sans MT" w:hAnsi="Gill Sans MT"/>
          <w:color w:val="1F4E79"/>
        </w:rPr>
      </w:pPr>
    </w:p>
    <w:p w:rsidR="003D7F5F" w:rsidRDefault="003A210C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6164157</wp:posOffset>
                </wp:positionV>
                <wp:extent cx="6486525" cy="3224959"/>
                <wp:effectExtent l="0" t="0" r="9525" b="0"/>
                <wp:wrapNone/>
                <wp:docPr id="1027" name="3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3224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D7F5F" w:rsidRDefault="003A210C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NOMBRE DEL ALUMNO: 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Mar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a Jos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 xml:space="preserve"> Hidalgo Roblero.</w:t>
                            </w:r>
                          </w:p>
                          <w:p w:rsidR="003D7F5F" w:rsidRDefault="003A210C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TEMA:  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2 y 3 unidad.</w:t>
                            </w:r>
                          </w:p>
                          <w:p w:rsidR="003D7F5F" w:rsidRDefault="003A210C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PARCIAL: 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</w:p>
                          <w:p w:rsidR="003D7F5F" w:rsidRDefault="003A210C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MATERIA: 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Enfermer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a En Urgencias Y Desastres.</w:t>
                            </w:r>
                          </w:p>
                          <w:p w:rsidR="003D7F5F" w:rsidRDefault="003A210C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Eduardo Garcia.</w:t>
                            </w:r>
                          </w:p>
                          <w:p w:rsidR="003D7F5F" w:rsidRDefault="003A210C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LICENCIATURA: 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Enfermer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 xml:space="preserve">a </w:t>
                            </w:r>
                          </w:p>
                          <w:p w:rsidR="003D7F5F" w:rsidRDefault="003A210C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CUATRIMESTRE: </w:t>
                            </w:r>
                            <w:r>
                              <w:rPr>
                                <w:rFonts w:hAnsi="Gill Sans MT"/>
                                <w:b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7to.</w:t>
                            </w:r>
                          </w:p>
                          <w:p w:rsidR="003D7F5F" w:rsidRDefault="003A210C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3D7F5F" w:rsidRDefault="003D7F5F">
                            <w:pPr>
                              <w:rPr>
                                <w:rFonts w:ascii="Gill Sans MT" w:hAnsi="Gill Sans MT"/>
                                <w:color w:val="2F5496"/>
                                <w:sz w:val="56"/>
                                <w:szCs w:val="64"/>
                              </w:rPr>
                            </w:pPr>
                          </w:p>
                          <w:p w:rsidR="003D7F5F" w:rsidRDefault="003D7F5F">
                            <w:pPr>
                              <w:rPr>
                                <w:rFonts w:ascii="Gill Sans MT" w:hAnsi="Gill Sans MT"/>
                                <w:color w:val="2F5496"/>
                                <w:sz w:val="56"/>
                                <w:szCs w:val="64"/>
                              </w:rPr>
                            </w:pPr>
                          </w:p>
                          <w:p w:rsidR="003D7F5F" w:rsidRDefault="003D7F5F">
                            <w:pPr>
                              <w:rPr>
                                <w:rFonts w:ascii="Gill Sans MT" w:hAnsi="Gill Sans MT"/>
                                <w:color w:val="2F5496"/>
                                <w:sz w:val="56"/>
                                <w:szCs w:val="64"/>
                              </w:rPr>
                            </w:pPr>
                          </w:p>
                          <w:p w:rsidR="003D7F5F" w:rsidRDefault="003D7F5F">
                            <w:pPr>
                              <w:rPr>
                                <w:rFonts w:ascii="Gill Sans MT" w:hAnsi="Gill Sans MT"/>
                                <w:color w:val="2F5496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1 Cuadro de texto" o:spid="_x0000_s1026" style="position:absolute;left:0;text-align:left;margin-left:51.75pt;margin-top:485.35pt;width:510.75pt;height:253.9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" stroked="f">
                <v:textbox>
                  <w:txbxContent>
                    <w:p w:rsidR="003D7F5F" w:rsidRDefault="003A210C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NOMBRE DEL ALUMNO: 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>Mar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>í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>a Jos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>é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 xml:space="preserve"> Hidalgo Roblero.</w:t>
                      </w:r>
                    </w:p>
                    <w:p w:rsidR="003D7F5F" w:rsidRDefault="003A210C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TEMA:  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>2 y 3 unidad.</w:t>
                      </w:r>
                    </w:p>
                    <w:p w:rsidR="003D7F5F" w:rsidRDefault="003A210C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PARCIAL: 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>1</w:t>
                      </w:r>
                    </w:p>
                    <w:p w:rsidR="003D7F5F" w:rsidRDefault="003A210C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MATERIA: 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>Enfermer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>í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>a En Urgencias Y Desastres.</w:t>
                      </w:r>
                    </w:p>
                    <w:p w:rsidR="003D7F5F" w:rsidRDefault="003A210C">
                      <w:pPr>
                        <w:shd w:val="clear" w:color="auto" w:fill="FFFFFF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NOMBRE DEL PROFESOR: 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>Eduardo Garcia.</w:t>
                      </w:r>
                    </w:p>
                    <w:p w:rsidR="003D7F5F" w:rsidRDefault="003A210C">
                      <w:pPr>
                        <w:shd w:val="clear" w:color="auto" w:fill="FFFFFF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LICENCIATURA: 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>Enfermer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>í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 xml:space="preserve">a </w:t>
                      </w:r>
                    </w:p>
                    <w:p w:rsidR="003D7F5F" w:rsidRDefault="003A210C">
                      <w:pPr>
                        <w:shd w:val="clear" w:color="auto" w:fill="FFFFFF"/>
                        <w:spacing w:line="360" w:lineRule="auto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CUATRIMESTRE: </w:t>
                      </w:r>
                      <w:r>
                        <w:rPr>
                          <w:rFonts w:hAnsi="Gill Sans MT"/>
                          <w:b/>
                          <w:color w:val="131E32"/>
                          <w:sz w:val="32"/>
                          <w:szCs w:val="32"/>
                          <w:lang w:val="en-US"/>
                        </w:rPr>
                        <w:t>7to.</w:t>
                      </w:r>
                    </w:p>
                    <w:p w:rsidR="003D7F5F" w:rsidRDefault="003A210C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3D7F5F" w:rsidRDefault="003D7F5F">
                      <w:pPr>
                        <w:rPr>
                          <w:rFonts w:ascii="Gill Sans MT" w:hAnsi="Gill Sans MT"/>
                          <w:color w:val="2F5496"/>
                          <w:sz w:val="56"/>
                          <w:szCs w:val="64"/>
                        </w:rPr>
                      </w:pPr>
                    </w:p>
                    <w:p w:rsidR="003D7F5F" w:rsidRDefault="003D7F5F">
                      <w:pPr>
                        <w:rPr>
                          <w:rFonts w:ascii="Gill Sans MT" w:hAnsi="Gill Sans MT"/>
                          <w:color w:val="2F5496"/>
                          <w:sz w:val="56"/>
                          <w:szCs w:val="64"/>
                        </w:rPr>
                      </w:pPr>
                    </w:p>
                    <w:p w:rsidR="003D7F5F" w:rsidRDefault="003D7F5F">
                      <w:pPr>
                        <w:rPr>
                          <w:rFonts w:ascii="Gill Sans MT" w:hAnsi="Gill Sans MT"/>
                          <w:color w:val="2F5496"/>
                          <w:sz w:val="56"/>
                          <w:szCs w:val="64"/>
                        </w:rPr>
                      </w:pPr>
                    </w:p>
                    <w:p w:rsidR="003D7F5F" w:rsidRDefault="003D7F5F">
                      <w:pPr>
                        <w:rPr>
                          <w:rFonts w:ascii="Gill Sans MT" w:hAnsi="Gill Sans MT"/>
                          <w:color w:val="2F5496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3D7F5F" w:rsidRDefault="003D7F5F">
      <w:pPr>
        <w:rPr>
          <w:rFonts w:ascii="Gill Sans MT" w:hAnsi="Gill Sans MT" w:cs="Times New Roman"/>
          <w:noProof/>
          <w:sz w:val="24"/>
          <w:szCs w:val="24"/>
          <w:lang w:eastAsia="es-MX"/>
        </w:rPr>
      </w:pPr>
    </w:p>
    <w:p w:rsidR="003D7F5F" w:rsidRDefault="003D7F5F"/>
    <w:p w:rsidR="003D7F5F" w:rsidRDefault="003D7F5F"/>
    <w:p w:rsidR="003D7F5F" w:rsidRDefault="003D7F5F">
      <w:pPr>
        <w:rPr>
          <w:rFonts w:hAnsi="Gill Sans MT" w:cs="Times New Roman"/>
          <w:noProof/>
          <w:sz w:val="24"/>
          <w:szCs w:val="24"/>
          <w:lang w:val="en-US" w:eastAsia="es-MX"/>
        </w:rPr>
      </w:pPr>
    </w:p>
    <w:p w:rsidR="003D7F5F" w:rsidRDefault="003D7F5F">
      <w:pPr>
        <w:rPr>
          <w:rFonts w:hAnsi="Gill Sans MT" w:cs="Times New Roman"/>
          <w:noProof/>
          <w:sz w:val="24"/>
          <w:szCs w:val="24"/>
          <w:lang w:val="en-US" w:eastAsia="es-MX"/>
        </w:rPr>
      </w:pPr>
    </w:p>
    <w:p w:rsidR="003D7F5F" w:rsidRDefault="003D7F5F">
      <w:pPr>
        <w:rPr>
          <w:rFonts w:hAnsi="Gill Sans MT" w:cs="Times New Roman"/>
          <w:noProof/>
          <w:sz w:val="24"/>
          <w:szCs w:val="24"/>
          <w:lang w:val="en-US" w:eastAsia="es-MX"/>
        </w:rPr>
      </w:pPr>
    </w:p>
    <w:p w:rsidR="003D7F5F" w:rsidRDefault="003D7F5F">
      <w:pPr>
        <w:rPr>
          <w:rFonts w:hAnsi="Gill Sans MT" w:cs="Times New Roman"/>
          <w:noProof/>
          <w:sz w:val="24"/>
          <w:szCs w:val="24"/>
          <w:lang w:val="en-US" w:eastAsia="es-MX"/>
        </w:rPr>
      </w:pPr>
    </w:p>
    <w:p w:rsidR="003D7F5F" w:rsidRDefault="003D7F5F">
      <w:pPr>
        <w:rPr>
          <w:rFonts w:hAnsi="Gill Sans MT" w:cs="Times New Roman"/>
          <w:noProof/>
          <w:sz w:val="24"/>
          <w:szCs w:val="24"/>
          <w:lang w:val="en-US" w:eastAsia="es-MX"/>
        </w:rPr>
      </w:pPr>
    </w:p>
    <w:p w:rsidR="003D7F5F" w:rsidRDefault="003D7F5F">
      <w:pPr>
        <w:rPr>
          <w:rFonts w:hAnsi="Gill Sans MT" w:cs="Times New Roman"/>
          <w:noProof/>
          <w:sz w:val="24"/>
          <w:szCs w:val="24"/>
          <w:lang w:val="en-US" w:eastAsia="es-MX"/>
        </w:rPr>
      </w:pPr>
    </w:p>
    <w:p w:rsidR="003D7F5F" w:rsidRDefault="003D7F5F">
      <w:pPr>
        <w:rPr>
          <w:rFonts w:hAnsi="Gill Sans MT" w:cs="Times New Roman"/>
          <w:noProof/>
          <w:sz w:val="24"/>
          <w:szCs w:val="24"/>
          <w:lang w:val="en-US" w:eastAsia="es-MX"/>
        </w:rPr>
      </w:pPr>
    </w:p>
    <w:p w:rsidR="003D7F5F" w:rsidRDefault="003D7F5F">
      <w:pPr>
        <w:rPr>
          <w:rFonts w:hAnsi="Gill Sans MT" w:cs="Times New Roman"/>
          <w:noProof/>
          <w:sz w:val="24"/>
          <w:szCs w:val="24"/>
          <w:lang w:val="en-US" w:eastAsia="es-MX"/>
        </w:rPr>
      </w:pP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lastRenderedPageBreak/>
        <w:t xml:space="preserve">Dentro de este ensayo se encuentra el cómo es la atención de enfermería hacia los pacientes en una catástrofe o algún desastre natural su concepto y su clasificación, cómo es la organización general ante estos problemas y cómo se </w:t>
      </w:r>
      <w:r w:rsidRPr="00FA54C7">
        <w:rPr>
          <w:rFonts w:ascii="Arial" w:hAnsi="Arial" w:cs="Arial"/>
          <w:noProof/>
          <w:lang w:val="en-US" w:eastAsia="es-MX"/>
        </w:rPr>
        <w:t>llega a valorar el paciente dentro de una emergencia colectiva cuál es el tipo de atención de enfermería que se debe dar al paciente ya sea una emergencia traumática o en desequilibrio del ambiente. Cómo es la atención de enfermería en un paciente politrau</w:t>
      </w:r>
      <w:r w:rsidRPr="00FA54C7">
        <w:rPr>
          <w:rFonts w:ascii="Arial" w:hAnsi="Arial" w:cs="Arial"/>
          <w:noProof/>
          <w:lang w:val="en-US" w:eastAsia="es-MX"/>
        </w:rPr>
        <w:t xml:space="preserve">matizado, si hay pacientes quemados, si en un dado caso es una emergencia de ahogamiento o si el paciente se encuentra intoxicado. También sea se encuentra cómo es la atención de enfermería en un paciente con alteraciones de la oxigenación tisular, con un </w:t>
      </w:r>
      <w:r w:rsidRPr="00FA54C7">
        <w:rPr>
          <w:rFonts w:ascii="Arial" w:hAnsi="Arial" w:cs="Arial"/>
          <w:noProof/>
          <w:lang w:val="en-US" w:eastAsia="es-MX"/>
        </w:rPr>
        <w:t>paciente con cardiopatías isquemicas el como la atención de enfermería ayuda mediante el shock en alguna urgencia y emergencia hipertensiva. La atención de enfermería con las arritmias letales. La atención a los pacientes con alteraciones del estado de con</w:t>
      </w:r>
      <w:r w:rsidRPr="00FA54C7">
        <w:rPr>
          <w:rFonts w:ascii="Arial" w:hAnsi="Arial" w:cs="Arial"/>
          <w:noProof/>
          <w:lang w:val="en-US" w:eastAsia="es-MX"/>
        </w:rPr>
        <w:t>ciencia. La atención al paciente inconsciente y a los pacientes con convulsiones como también al paciente con accidente cerebrovascular.</w:t>
      </w:r>
    </w:p>
    <w:p w:rsidR="003D7F5F" w:rsidRPr="00FA54C7" w:rsidRDefault="003D7F5F" w:rsidP="00E36870">
      <w:pPr>
        <w:spacing w:line="360" w:lineRule="auto"/>
        <w:rPr>
          <w:rFonts w:ascii="Arial" w:hAnsi="Arial" w:cs="Arial"/>
          <w:noProof/>
          <w:lang w:eastAsia="es-MX"/>
        </w:rPr>
      </w:pP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Atención de enfermería a múltiples víctimas.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Se considera un desastre natural cuando el fenómeno no es producido por l</w:t>
      </w:r>
      <w:r w:rsidRPr="00FA54C7">
        <w:rPr>
          <w:rFonts w:ascii="Arial" w:hAnsi="Arial" w:cs="Arial"/>
          <w:noProof/>
          <w:lang w:val="en-US" w:eastAsia="es-MX"/>
        </w:rPr>
        <w:t xml:space="preserve">a acción directa de un hombre y esto se llegan a clasificar en: 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-meteorologicas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-medio ambiente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-extraterrestres.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De todos los desastres naturales anteriores se puede decir que los ciclones tropicales las lluvias intensas las penetraciones del mar las tor</w:t>
      </w:r>
      <w:r w:rsidRPr="00FA54C7">
        <w:rPr>
          <w:rFonts w:ascii="Arial" w:hAnsi="Arial" w:cs="Arial"/>
          <w:noProof/>
          <w:lang w:val="en-US" w:eastAsia="es-MX"/>
        </w:rPr>
        <w:t>mentas locales severas y las sequías son las cuales más han afectado al país. Dentro de una catástrofe, el personal de enfermería pasa a formar parte trascendental dentro del equipo multidisciplinario de salud ya que es fundamental su intervención en las a</w:t>
      </w:r>
      <w:r w:rsidRPr="00FA54C7">
        <w:rPr>
          <w:rFonts w:ascii="Arial" w:hAnsi="Arial" w:cs="Arial"/>
          <w:noProof/>
          <w:lang w:val="en-US" w:eastAsia="es-MX"/>
        </w:rPr>
        <w:t>cciones llevadas a cabo antes durante y después del desastre. Para poder participar bien el personal de enfermería debe de llevar una preparación a nivel académico profesional como personal que le permite realizar las técnicas y los procedimientos de maner</w:t>
      </w:r>
      <w:r w:rsidRPr="00FA54C7">
        <w:rPr>
          <w:rFonts w:ascii="Arial" w:hAnsi="Arial" w:cs="Arial"/>
          <w:noProof/>
          <w:lang w:val="en-US" w:eastAsia="es-MX"/>
        </w:rPr>
        <w:t>a eficiente, eficaz y con calidad.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lastRenderedPageBreak/>
        <w:t>Dentro del apoyo del personal de enfermería estos deben de actuar desde la administración, la investigación, el servicio y la docencia llevando a cabo la adaptación de sus conocimientos profesionales del modo que puedan i</w:t>
      </w:r>
      <w:r w:rsidRPr="00FA54C7">
        <w:rPr>
          <w:rFonts w:ascii="Arial" w:hAnsi="Arial" w:cs="Arial"/>
          <w:noProof/>
          <w:lang w:val="en-US" w:eastAsia="es-MX"/>
        </w:rPr>
        <w:t>dentificar y poder atender a las necesidades de las personas las cuales sufren con motivo de un desastre y deben de estar preparadas para actuar en: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-hospitales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-puestos de primeros auxilios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 comités de emergencia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-albergues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-comite de vigilancia epidemio</w:t>
      </w:r>
      <w:r w:rsidRPr="00FA54C7">
        <w:rPr>
          <w:rFonts w:ascii="Arial" w:hAnsi="Arial" w:cs="Arial"/>
          <w:noProof/>
          <w:lang w:val="en-US" w:eastAsia="es-MX"/>
        </w:rPr>
        <w:t>logíca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 organización y manejo de los servicios en situaciones de emergencia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-identificar víctimas y traslado de ellas.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-atención directa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 valoración y evaluación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-solucion de problemas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-organizacion y coordinación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 enseñanza y consulta.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Valoración de pacientes en emergencia colectivas y catástrofes naturales.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Esto se realiza con el fin de evitar la difusión de las catástrofes pudiendo así reducir las causas del suceso y poder controlar y limitar sus efectos sobre las personas los bienes y</w:t>
      </w:r>
      <w:r w:rsidRPr="00FA54C7">
        <w:rPr>
          <w:rFonts w:ascii="Arial" w:hAnsi="Arial" w:cs="Arial"/>
          <w:noProof/>
          <w:lang w:val="en-US" w:eastAsia="es-MX"/>
        </w:rPr>
        <w:t xml:space="preserve"> los servicios ayudar a rescatar y poder atender a los afectados ayudando en la rehabilitación de los servicios públicos básicos.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La atención de las víctimas se desarrollan dos tiempos.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 xml:space="preserve">a) en el lugar del suceso o en el punto de impacto qué es donde </w:t>
      </w:r>
      <w:r w:rsidRPr="00FA54C7">
        <w:rPr>
          <w:rFonts w:ascii="Arial" w:hAnsi="Arial" w:cs="Arial"/>
          <w:noProof/>
          <w:lang w:val="en-US" w:eastAsia="es-MX"/>
        </w:rPr>
        <w:t>existe un alto nivel de desorganización e improvisación.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lastRenderedPageBreak/>
        <w:t>b) el segundo tiempo es en los puntos de asistencia definitivos los cuales cuentan con mayor nivel de organización y con tratamiento de las víctimas de forma individual.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Tres funciones que constituye</w:t>
      </w:r>
      <w:r w:rsidRPr="00FA54C7">
        <w:rPr>
          <w:rFonts w:ascii="Arial" w:hAnsi="Arial" w:cs="Arial"/>
          <w:noProof/>
          <w:lang w:val="en-US" w:eastAsia="es-MX"/>
        </w:rPr>
        <w:t>n el núcleo básico alrededor del cual se organizan el resto de las actividades: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Dirección de las operaciones: la principal responsabilidad es la organización del puesto de mando sanitario con la identificación de los riesgos inmediatos para sus equipos, el</w:t>
      </w:r>
      <w:r w:rsidRPr="00FA54C7">
        <w:rPr>
          <w:rFonts w:ascii="Arial" w:hAnsi="Arial" w:cs="Arial"/>
          <w:noProof/>
          <w:lang w:val="en-US" w:eastAsia="es-MX"/>
        </w:rPr>
        <w:t xml:space="preserve"> establecimiento de áreas para disponer las zonas asistenciales cómo poner en marcha el triage y organizar el tráfico de las ambulancias para iniciar la evaluación y su control de las comunicaciones.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 xml:space="preserve">El coordinador se encuentra entrenado para hacer un uso </w:t>
      </w:r>
      <w:r w:rsidRPr="00FA54C7">
        <w:rPr>
          <w:rFonts w:ascii="Arial" w:hAnsi="Arial" w:cs="Arial"/>
          <w:noProof/>
          <w:lang w:val="en-US" w:eastAsia="es-MX"/>
        </w:rPr>
        <w:t>juicioso, claro y conciso de los medios de comunicación que se emplean para poder mantener un registro ordenado de todas las actuaciones.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El área de socorro es un área inmediata para la intervención y es donde se realizan las operaciones de socorro sanitar</w:t>
      </w:r>
      <w:r w:rsidRPr="00FA54C7">
        <w:rPr>
          <w:rFonts w:ascii="Arial" w:hAnsi="Arial" w:cs="Arial"/>
          <w:noProof/>
          <w:lang w:val="en-US" w:eastAsia="es-MX"/>
        </w:rPr>
        <w:t>io, acá se despliegan los servicios sanitarios y se presentan las primeras atenciones.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El triage es la principal tarea que se desarrolla en esta área. Se tratan las urgencias extremas con un objetivo de poder asegurar la vida aérea y poder controlar las he</w:t>
      </w:r>
      <w:r w:rsidRPr="00FA54C7">
        <w:rPr>
          <w:rFonts w:ascii="Arial" w:hAnsi="Arial" w:cs="Arial"/>
          <w:noProof/>
          <w:lang w:val="en-US" w:eastAsia="es-MX"/>
        </w:rPr>
        <w:t>morragias externas. El triage antes de exponer las características del sistema de clasificación de víctimas o triage, se debe recordar que el personal de las unidades de rescate y salvamento que acuden al lugar de la catástrofe deben de estar capacitados p</w:t>
      </w:r>
      <w:r w:rsidRPr="00FA54C7">
        <w:rPr>
          <w:rFonts w:ascii="Arial" w:hAnsi="Arial" w:cs="Arial"/>
          <w:noProof/>
          <w:lang w:val="en-US" w:eastAsia="es-MX"/>
        </w:rPr>
        <w:t>ara prestar los primeros auxilios antes de efectuarlo.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*Tarjeta roja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 xml:space="preserve">Problema respiratorio no corregible 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paro cardíaco hemorragia abundante pérdida de conciencia heridas penetrantes fracturas graves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*Tarjeta verde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Quemadura de segundo o tercer grado. quem</w:t>
      </w:r>
      <w:r w:rsidRPr="00FA54C7">
        <w:rPr>
          <w:rFonts w:ascii="Arial" w:hAnsi="Arial" w:cs="Arial"/>
          <w:noProof/>
          <w:lang w:val="en-US" w:eastAsia="es-MX"/>
        </w:rPr>
        <w:t>aduras complicadas con otras lesiones graves de tejidos blandos o fracturas.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lastRenderedPageBreak/>
        <w:t xml:space="preserve"> quemaduras de tercer grado que afectan manos pies o cara. hemorragia de 500 a 1000 cc.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 xml:space="preserve"> lesiones dorsales con o sin daño de columna.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Paciente consciente con daño craneoencefálico</w:t>
      </w:r>
      <w:r w:rsidRPr="00FA54C7">
        <w:rPr>
          <w:rFonts w:ascii="Arial" w:hAnsi="Arial" w:cs="Arial"/>
          <w:noProof/>
          <w:lang w:val="en-US" w:eastAsia="es-MX"/>
        </w:rPr>
        <w:t xml:space="preserve"> importante.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*Tarjeta amarilla (tercera prioridad en evacuación)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Fracturas y otras lesiones menores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Quemaduras menores de segundo grado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Quemaduras de segundo grado mayor a 30% o de tercer grados mayor al 10%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Quemaduras complicadas con otras lesiones graves</w:t>
      </w:r>
      <w:r w:rsidRPr="00FA54C7">
        <w:rPr>
          <w:rFonts w:ascii="Arial" w:hAnsi="Arial" w:cs="Arial"/>
          <w:noProof/>
          <w:lang w:val="en-US" w:eastAsia="es-MX"/>
        </w:rPr>
        <w:t xml:space="preserve"> de tejido blando.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*Tarjeta amarilla (tercera prioridad en evacuación)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Fracturas y otras lesiones menores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Quemaduras menores de segundo grado menor a 15%, de tercer grado menor a 2% o de primer grado menor al 20% excepto en manos pies y cara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 xml:space="preserve">Quemaduras de </w:t>
      </w:r>
      <w:r w:rsidRPr="00FA54C7">
        <w:rPr>
          <w:rFonts w:ascii="Arial" w:hAnsi="Arial" w:cs="Arial"/>
          <w:noProof/>
          <w:lang w:val="en-US" w:eastAsia="es-MX"/>
        </w:rPr>
        <w:t>segundo y tercer grado del más del 40% en las que la muerte parezca razonablemente cierta o existan otras lesiones mayores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Lesiones craneales donde el tejido cerebral está expuesto y el paciente está inconsciente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Lesiones craneoencefálicas con fracturas ma</w:t>
      </w:r>
      <w:r w:rsidRPr="00FA54C7">
        <w:rPr>
          <w:rFonts w:ascii="Arial" w:hAnsi="Arial" w:cs="Arial"/>
          <w:noProof/>
          <w:lang w:val="en-US" w:eastAsia="es-MX"/>
        </w:rPr>
        <w:t>yores y pacientes inconscientes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Lesión de columna con ausencia de sensibilidad y movimiento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Paciente de más de 60 años con lesiones mayores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*Tarjeta negra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Fallecidos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 xml:space="preserve">Paciente sin pulso o sin respiración durante más de 20 minutos o que sus lesiones </w:t>
      </w:r>
      <w:r w:rsidRPr="00FA54C7">
        <w:rPr>
          <w:rFonts w:ascii="Arial" w:hAnsi="Arial" w:cs="Arial"/>
          <w:noProof/>
          <w:lang w:val="en-US" w:eastAsia="es-MX"/>
        </w:rPr>
        <w:t>hacen imposible la medida de resucitación.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Atención de enfermería en el shock.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lastRenderedPageBreak/>
        <w:t>Es un proceso patológico a causa de la invasión de un tejido como un fluido o una cavidad corporal que se encuentra normalmente estéril por un microorganismo patógeno o potencia</w:t>
      </w:r>
      <w:r w:rsidRPr="00FA54C7">
        <w:rPr>
          <w:rFonts w:ascii="Arial" w:hAnsi="Arial" w:cs="Arial"/>
          <w:noProof/>
          <w:lang w:val="en-US" w:eastAsia="es-MX"/>
        </w:rPr>
        <w:t>lmente patógeno.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Sepsis: infección, confirmada o sospecha y alguna de las siguientes variables: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 xml:space="preserve">Variables generales: 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 Taquicardia (FC &gt;90 lpm)</w:t>
      </w:r>
      <w:r w:rsidRPr="00FA54C7">
        <w:rPr>
          <w:rFonts w:ascii="Arial" w:hAnsi="Arial" w:cs="Arial"/>
          <w:noProof/>
          <w:lang w:val="en-US" w:eastAsia="es-MX"/>
        </w:rPr>
        <w:cr/>
        <w:t>- Taquipnea (FR &gt;20 rpm)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 Alteración del estado mental</w:t>
      </w:r>
      <w:r w:rsidRPr="00FA54C7">
        <w:rPr>
          <w:rFonts w:ascii="Arial" w:hAnsi="Arial" w:cs="Arial"/>
          <w:noProof/>
          <w:lang w:val="en-US" w:eastAsia="es-MX"/>
        </w:rPr>
        <w:cr/>
        <w:t>- Edema significativo o balance hídrico positivo &gt;20 ml</w:t>
      </w:r>
      <w:r w:rsidRPr="00FA54C7">
        <w:rPr>
          <w:rFonts w:ascii="Arial" w:hAnsi="Arial" w:cs="Arial"/>
          <w:noProof/>
          <w:lang w:val="en-US" w:eastAsia="es-MX"/>
        </w:rPr>
        <w:t>/Kg en 24h</w:t>
      </w:r>
      <w:r w:rsidRPr="00FA54C7">
        <w:rPr>
          <w:rFonts w:ascii="Arial" w:hAnsi="Arial" w:cs="Arial"/>
          <w:noProof/>
          <w:lang w:val="en-US" w:eastAsia="es-MX"/>
        </w:rPr>
        <w:cr/>
        <w:t>- Hiperglucemia (&gt;140 mg/dl) en paciente no diabético.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Variables inflamatorias: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 Leucocitosis (&gt;12000/μl)</w:t>
      </w:r>
      <w:r w:rsidRPr="00FA54C7">
        <w:rPr>
          <w:rFonts w:ascii="Arial" w:hAnsi="Arial" w:cs="Arial"/>
          <w:noProof/>
          <w:lang w:val="en-US" w:eastAsia="es-MX"/>
        </w:rPr>
        <w:cr/>
        <w:t>- Leucopenia (&lt;4000/μl)</w:t>
      </w:r>
      <w:r w:rsidRPr="00FA54C7">
        <w:rPr>
          <w:rFonts w:ascii="Arial" w:hAnsi="Arial" w:cs="Arial"/>
          <w:noProof/>
          <w:lang w:val="en-US" w:eastAsia="es-MX"/>
        </w:rPr>
        <w:cr/>
        <w:t>- Desviación izquierda (&gt;10% de formas inmaduras)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- Elevación de PCR y de PCT</w:t>
      </w:r>
      <w:r w:rsidRPr="00FA54C7">
        <w:rPr>
          <w:rFonts w:ascii="Arial" w:hAnsi="Arial" w:cs="Arial"/>
          <w:noProof/>
          <w:lang w:val="en-US" w:eastAsia="es-MX"/>
        </w:rPr>
        <w:cr/>
        <w:t xml:space="preserve">Variables </w:t>
      </w:r>
      <w:r w:rsidRPr="00FA54C7">
        <w:rPr>
          <w:rFonts w:ascii="Arial" w:hAnsi="Arial" w:cs="Arial"/>
          <w:noProof/>
          <w:lang w:val="en-US" w:eastAsia="es-MX"/>
        </w:rPr>
        <w:t>hemodinámicas:</w:t>
      </w:r>
      <w:r w:rsidRPr="00FA54C7">
        <w:rPr>
          <w:rFonts w:ascii="Arial" w:hAnsi="Arial" w:cs="Arial"/>
          <w:noProof/>
          <w:lang w:val="en-US" w:eastAsia="es-MX"/>
        </w:rPr>
        <w:cr/>
        <w:t>- Hipotensión arterial (tas&lt;90, tam&lt;70 o caída &gt;40 mmhg)</w:t>
      </w:r>
      <w:r w:rsidRPr="00FA54C7">
        <w:rPr>
          <w:rFonts w:ascii="Arial" w:hAnsi="Arial" w:cs="Arial"/>
          <w:noProof/>
          <w:lang w:val="en-US" w:eastAsia="es-MX"/>
        </w:rPr>
        <w:cr/>
        <w:t>Variables de disfunción de órganos:</w:t>
      </w:r>
      <w:r w:rsidRPr="00FA54C7">
        <w:rPr>
          <w:rFonts w:ascii="Arial" w:hAnsi="Arial" w:cs="Arial"/>
          <w:noProof/>
          <w:lang w:val="en-US" w:eastAsia="es-MX"/>
        </w:rPr>
        <w:cr/>
        <w:t>- Hipoxemia (relación po2/fio2&lt;300)</w:t>
      </w:r>
      <w:r w:rsidRPr="00FA54C7">
        <w:rPr>
          <w:rFonts w:ascii="Arial" w:hAnsi="Arial" w:cs="Arial"/>
          <w:noProof/>
          <w:lang w:val="en-US" w:eastAsia="es-MX"/>
        </w:rPr>
        <w:cr/>
        <w:t>- Oliguria (diuresis &lt;0.5 cc/kg/h durante al menos 2h)</w:t>
      </w:r>
      <w:r w:rsidRPr="00FA54C7">
        <w:rPr>
          <w:rFonts w:ascii="Arial" w:hAnsi="Arial" w:cs="Arial"/>
          <w:noProof/>
          <w:lang w:val="en-US" w:eastAsia="es-MX"/>
        </w:rPr>
        <w:cr/>
        <w:t>- Elevación de Cr &gt; 0.5 mg/dl</w:t>
      </w:r>
      <w:r w:rsidRPr="00FA54C7">
        <w:rPr>
          <w:rFonts w:ascii="Arial" w:hAnsi="Arial" w:cs="Arial"/>
          <w:noProof/>
          <w:lang w:val="en-US" w:eastAsia="es-MX"/>
        </w:rPr>
        <w:cr/>
        <w:t xml:space="preserve">- Coagulopatía (INR &gt;1.5 ó </w:t>
      </w:r>
      <w:r w:rsidRPr="00FA54C7">
        <w:rPr>
          <w:rFonts w:ascii="Arial" w:hAnsi="Arial" w:cs="Arial"/>
          <w:noProof/>
          <w:lang w:val="en-US" w:eastAsia="es-MX"/>
        </w:rPr>
        <w:t>tpta &gt;60s)</w:t>
      </w:r>
      <w:r w:rsidRPr="00FA54C7">
        <w:rPr>
          <w:rFonts w:ascii="Arial" w:hAnsi="Arial" w:cs="Arial"/>
          <w:noProof/>
          <w:lang w:val="en-US" w:eastAsia="es-MX"/>
        </w:rPr>
        <w:cr/>
        <w:t>- Trombopenia (&lt;100000/μl)</w:t>
      </w:r>
      <w:r w:rsidRPr="00FA54C7">
        <w:rPr>
          <w:rFonts w:ascii="Arial" w:hAnsi="Arial" w:cs="Arial"/>
          <w:noProof/>
          <w:lang w:val="en-US" w:eastAsia="es-MX"/>
        </w:rPr>
        <w:cr/>
        <w:t>- Íleo (ausencia de ruidos intestinales)</w:t>
      </w:r>
      <w:r w:rsidRPr="00FA54C7">
        <w:rPr>
          <w:rFonts w:ascii="Arial" w:hAnsi="Arial" w:cs="Arial"/>
          <w:noProof/>
          <w:lang w:val="en-US" w:eastAsia="es-MX"/>
        </w:rPr>
        <w:cr/>
        <w:t>- Ictericia (Bilirrubina total &gt;4 mg/dl)</w:t>
      </w:r>
      <w:r w:rsidRPr="00FA54C7">
        <w:rPr>
          <w:rFonts w:ascii="Arial" w:hAnsi="Arial" w:cs="Arial"/>
          <w:noProof/>
          <w:lang w:val="en-US" w:eastAsia="es-MX"/>
        </w:rPr>
        <w:cr/>
        <w:t>Variables de perfusión tisular:</w:t>
      </w:r>
      <w:r w:rsidRPr="00FA54C7">
        <w:rPr>
          <w:rFonts w:ascii="Arial" w:hAnsi="Arial" w:cs="Arial"/>
          <w:noProof/>
          <w:lang w:val="en-US" w:eastAsia="es-MX"/>
        </w:rPr>
        <w:cr/>
        <w:t>- Hiperlactatemia (lactato &gt;1 mmol/L)</w:t>
      </w:r>
      <w:r w:rsidRPr="00FA54C7">
        <w:rPr>
          <w:rFonts w:ascii="Arial" w:hAnsi="Arial" w:cs="Arial"/>
          <w:noProof/>
          <w:lang w:val="en-US" w:eastAsia="es-MX"/>
        </w:rPr>
        <w:cr/>
        <w:t>- Livideces o relleno capilar enlentecido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Shock séptico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lastRenderedPageBreak/>
        <w:t>Hipotensió</w:t>
      </w:r>
      <w:r w:rsidRPr="00FA54C7">
        <w:rPr>
          <w:rFonts w:ascii="Arial" w:hAnsi="Arial" w:cs="Arial"/>
          <w:noProof/>
          <w:lang w:val="en-US" w:eastAsia="es-MX"/>
        </w:rPr>
        <w:t>n que se induce por la sepsis que persiste aún después de una resucitación adecuada con fluidos. Los estudios complementarios a realizar son: en los pacientes que se sospecha una infección se deben completar los siguientes estudios: hemograma y bioquímica.</w:t>
      </w:r>
      <w:r w:rsidRPr="00FA54C7">
        <w:rPr>
          <w:rFonts w:ascii="Arial" w:hAnsi="Arial" w:cs="Arial"/>
          <w:noProof/>
          <w:lang w:val="en-US" w:eastAsia="es-MX"/>
        </w:rPr>
        <w:t xml:space="preserve"> 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Pruebas de imagen.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Siempre se debe de realizar un RX de tórax.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Se solicita arresto de estudios de imagen.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Se debe identificar el foco de la infección, especialmente si se puede tratar de un foco potencialmente drenable.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Control del foco de infección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En l</w:t>
      </w:r>
      <w:r w:rsidRPr="00FA54C7">
        <w:rPr>
          <w:rFonts w:ascii="Arial" w:hAnsi="Arial" w:cs="Arial"/>
          <w:noProof/>
          <w:lang w:val="en-US" w:eastAsia="es-MX"/>
        </w:rPr>
        <w:t>os casos donde el foco se pueda drenar, debe internarse el control del mismo lo antes posible y se recomienda optar por aquellas técnicas las cuales se consigue un buen drenaje del foco de infección.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Shock cardiogénico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Hipotensión arterial :presión arteria</w:t>
      </w:r>
      <w:r w:rsidRPr="00FA54C7">
        <w:rPr>
          <w:rFonts w:ascii="Arial" w:hAnsi="Arial" w:cs="Arial"/>
          <w:noProof/>
          <w:lang w:val="en-US" w:eastAsia="es-MX"/>
        </w:rPr>
        <w:t>l sistólica menor a 90 mmhg.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Bajo gasto cardíaco :índice cardíaco menor a 1.8-2-2 l/min/M2 de superficie corporal.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Precarga adecuada :presión capilar pulmonar mayor de 15 a 18 mmhg.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Hipoperfusión tisular.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 xml:space="preserve">Manejo 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 xml:space="preserve">Oxigenoterapia para mantener la saturación </w:t>
      </w:r>
      <w:r w:rsidRPr="00FA54C7">
        <w:rPr>
          <w:rFonts w:ascii="Arial" w:hAnsi="Arial" w:cs="Arial"/>
          <w:noProof/>
          <w:lang w:val="en-US" w:eastAsia="es-MX"/>
        </w:rPr>
        <w:t>de oxígeno al menos al 90%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Se valora la intubación orotraqueal y la conexión a ventilación mecánica para poder corregir la hipoxemia y disminuir el trabajo respiratorio y el consumo de oxígeno.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Se optimiza la precarga la administración de fluidos en aquell</w:t>
      </w:r>
      <w:r w:rsidRPr="00FA54C7">
        <w:rPr>
          <w:rFonts w:ascii="Arial" w:hAnsi="Arial" w:cs="Arial"/>
          <w:noProof/>
          <w:lang w:val="en-US" w:eastAsia="es-MX"/>
        </w:rPr>
        <w:t>os pacientes que se encuentran hipovolémico.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15mmhg en caso de sobrecarga de volumen, situación más frecuente qué es la hipovolemia.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lastRenderedPageBreak/>
        <w:t xml:space="preserve">Control de la frecuencia y del ritmo cardíaco que incluye cardioversión eléctrica o colocación de marcapasos si se </w:t>
      </w:r>
      <w:r w:rsidRPr="00FA54C7">
        <w:rPr>
          <w:rFonts w:ascii="Arial" w:hAnsi="Arial" w:cs="Arial"/>
          <w:noProof/>
          <w:lang w:val="en-US" w:eastAsia="es-MX"/>
        </w:rPr>
        <w:t>necesita.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Se aconseja mantener monitorizado el gasto cardíaco y las presiones o los volúmenes del llenado cardíaco. El ecocardiograma además de emplearse para el diagnóstico de la causa del shock también nos sirve para la monitorización del gasto cardíaco.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Atención de enfermería en las urgencias y emergencias hipertensivas.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En las crisis hipertensivas son las elevaciones agudas de la presión arterial las cuales motivan una atención médica urgente y se define como una elevación de la t a d a stolica superior</w:t>
      </w:r>
      <w:r w:rsidRPr="00FA54C7">
        <w:rPr>
          <w:rFonts w:ascii="Arial" w:hAnsi="Arial" w:cs="Arial"/>
          <w:noProof/>
          <w:lang w:val="en-US" w:eastAsia="es-MX"/>
        </w:rPr>
        <w:t xml:space="preserve"> a 120 o 130 mmhg delate a sistólica por encima de 210mmhg.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Clasificación de diferentes pronósticos y manejo: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*Emergencia hipertensiva: es la elevación del ataque se acompaña de daño o de disfunción aguda en los órganos Diana.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*Urgencia hipertensiva: eleva</w:t>
      </w:r>
      <w:r w:rsidRPr="00FA54C7">
        <w:rPr>
          <w:rFonts w:ascii="Arial" w:hAnsi="Arial" w:cs="Arial"/>
          <w:noProof/>
          <w:lang w:val="en-US" w:eastAsia="es-MX"/>
        </w:rPr>
        <w:t>ción de la TA en ausencia de lesión aguda de los órganos Diana que no entraña un compromiso vital.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Falsas urgencias hipertensivas: elevación de la producida en su mayor parte por Estados de ansiedad o dolor y que conllevan un daño en órganos Diana.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Valorac</w:t>
      </w:r>
      <w:r w:rsidRPr="00FA54C7">
        <w:rPr>
          <w:rFonts w:ascii="Arial" w:hAnsi="Arial" w:cs="Arial"/>
          <w:noProof/>
          <w:lang w:val="en-US" w:eastAsia="es-MX"/>
        </w:rPr>
        <w:t>ión de un paciente con crisis hipertensiva.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Para llevar a cabo una clasificación y un manejo de una crisis hipertensiva se necesita llevar a cabo una correcta evaluación diagnostica. Para esto se realiza una historia clínica completa. Se ve de preguntar po</w:t>
      </w:r>
      <w:r w:rsidRPr="00FA54C7">
        <w:rPr>
          <w:rFonts w:ascii="Arial" w:hAnsi="Arial" w:cs="Arial"/>
          <w:noProof/>
          <w:lang w:val="en-US" w:eastAsia="es-MX"/>
        </w:rPr>
        <w:t>r la presencia de historia previa de hipertensión arterial su tiempo de evolución su severidad su uso de tratamiento hipotensor su adherencia terapéutica los episodios perdidos de crisis hipertensivas y sus estudios previos que se ha realizado para descart</w:t>
      </w:r>
      <w:r w:rsidRPr="00FA54C7">
        <w:rPr>
          <w:rFonts w:ascii="Arial" w:hAnsi="Arial" w:cs="Arial"/>
          <w:noProof/>
          <w:lang w:val="en-US" w:eastAsia="es-MX"/>
        </w:rPr>
        <w:t>ar hta secundaria.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Se debe descargar la app descartar la presencia de enfermedades que le puedan desencadenar crisis hipertensiva o bien retirar bruscamente los fármacos hipotensores de acción corta como betabloqueantes y clonidina. Es precio ademas la val</w:t>
      </w:r>
      <w:r w:rsidRPr="00FA54C7">
        <w:rPr>
          <w:rFonts w:ascii="Arial" w:hAnsi="Arial" w:cs="Arial"/>
          <w:noProof/>
          <w:lang w:val="en-US" w:eastAsia="es-MX"/>
        </w:rPr>
        <w:t>oración de los síntomas que sugieran afectación de órganos Diana y que orienten a la presencia de enfermedades sugerentes de una emergencia hipertensiva.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lastRenderedPageBreak/>
        <w:t>Síntomas y signos que se asocian con las complicaciones de órganos Diana en una crisis hipertensiva: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o</w:t>
      </w:r>
      <w:r w:rsidRPr="00FA54C7">
        <w:rPr>
          <w:rFonts w:ascii="Arial" w:hAnsi="Arial" w:cs="Arial"/>
          <w:noProof/>
          <w:lang w:val="en-US" w:eastAsia="es-MX"/>
        </w:rPr>
        <w:t xml:space="preserve"> Edema de papila. o Constricción de arteriolas retinianas. · Cardiovasculares.         o Dolor torácico en la espalda o abdomen. o Palpitaciones. o Náuseas y vómitos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o Disnea. o Ortopnea.  o Estertores y sibilancias.  o Soplos, arritmias</w:t>
      </w:r>
      <w:r w:rsidRPr="00FA54C7">
        <w:rPr>
          <w:rFonts w:ascii="Arial" w:hAnsi="Arial" w:cs="Arial"/>
          <w:noProof/>
          <w:lang w:val="en-US" w:eastAsia="es-MX"/>
        </w:rPr>
        <w:cr/>
        <w:t>o Ritmo de galope.</w:t>
      </w:r>
      <w:r w:rsidRPr="00FA54C7">
        <w:rPr>
          <w:rFonts w:ascii="Arial" w:hAnsi="Arial" w:cs="Arial"/>
          <w:noProof/>
          <w:lang w:val="en-US" w:eastAsia="es-MX"/>
        </w:rPr>
        <w:t xml:space="preserve">   o Ruidos abdominales.  o Pulsos periféricos anormales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o Renales.  o Oliguria, hematuria y nicturia.  o Dolor y sensibilidad en el flanco</w:t>
      </w:r>
      <w:r w:rsidRPr="00FA54C7">
        <w:rPr>
          <w:rFonts w:ascii="Arial" w:hAnsi="Arial" w:cs="Arial"/>
          <w:noProof/>
          <w:lang w:val="en-US" w:eastAsia="es-MX"/>
        </w:rPr>
        <w:cr/>
        <w:t>o Edema periférico.   o Fatiga y debilidad.   o Agrandamiento renal.  o SNC</w:t>
      </w:r>
      <w:r w:rsidRPr="00FA54C7">
        <w:rPr>
          <w:rFonts w:ascii="Arial" w:hAnsi="Arial" w:cs="Arial"/>
          <w:noProof/>
          <w:lang w:val="en-US" w:eastAsia="es-MX"/>
        </w:rPr>
        <w:cr/>
        <w:t>o Cefalea (a veces grave) y náuseas.   o</w:t>
      </w:r>
      <w:r w:rsidRPr="00FA54C7">
        <w:rPr>
          <w:rFonts w:ascii="Arial" w:hAnsi="Arial" w:cs="Arial"/>
          <w:noProof/>
          <w:lang w:val="en-US" w:eastAsia="es-MX"/>
        </w:rPr>
        <w:t xml:space="preserve"> Confusión.   o Cambios visuales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o Debilidad focal o parestesias.  o Debilidad generalizada</w:t>
      </w:r>
      <w:r w:rsidRPr="00FA54C7">
        <w:rPr>
          <w:rFonts w:ascii="Arial" w:hAnsi="Arial" w:cs="Arial"/>
          <w:noProof/>
          <w:lang w:val="en-US" w:eastAsia="es-MX"/>
        </w:rPr>
        <w:cr/>
        <w:t>o Desorientación.  o Déficit neurológicos focales.  o Crisis convulsivas</w:t>
      </w:r>
      <w:r w:rsidRPr="00FA54C7">
        <w:rPr>
          <w:rFonts w:ascii="Arial" w:hAnsi="Arial" w:cs="Arial"/>
          <w:noProof/>
          <w:lang w:val="en-US" w:eastAsia="es-MX"/>
        </w:rPr>
        <w:cr/>
        <w:t>o Coma.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Atención de enfermería en arritmias letales.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Actividad eléctrica del corazón. Norma</w:t>
      </w:r>
      <w:r w:rsidRPr="00FA54C7">
        <w:rPr>
          <w:rFonts w:ascii="Arial" w:hAnsi="Arial" w:cs="Arial"/>
          <w:noProof/>
          <w:lang w:val="en-US" w:eastAsia="es-MX"/>
        </w:rPr>
        <w:t>lmente el marcapasos inusual es el que ayuda a activar el corazón. Nacido el estímulo en esta estructura se forman dipolos de activación que progresivamente van despolarizado las articulas empezando con la derecha y después la izquierda. Cuando el estímulo</w:t>
      </w:r>
      <w:r w:rsidRPr="00FA54C7">
        <w:rPr>
          <w:rFonts w:ascii="Arial" w:hAnsi="Arial" w:cs="Arial"/>
          <w:noProof/>
          <w:lang w:val="en-US" w:eastAsia="es-MX"/>
        </w:rPr>
        <w:t xml:space="preserve"> llega a la unión auriculoventricular la conducción es más lenta y el estímulo la atraviesa con mayor lentitud esta activación se traduce en el electrocardiograma mediante el complejo qrs y se inscribe la onda de que nos traduce la repolarización ventricul</w:t>
      </w:r>
      <w:r w:rsidRPr="00FA54C7">
        <w:rPr>
          <w:rFonts w:ascii="Arial" w:hAnsi="Arial" w:cs="Arial"/>
          <w:noProof/>
          <w:lang w:val="en-US" w:eastAsia="es-MX"/>
        </w:rPr>
        <w:t>ar.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Arritmias cardíacas.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El sistema de conducción cardíaca se supone de un conjunto de fenómenos eléctricos facilitados por la activa migración iónica a través de los canales específicos de la membrana celular.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1. Los mecanismos responsables de las arritmi</w:t>
      </w:r>
      <w:r w:rsidRPr="00FA54C7">
        <w:rPr>
          <w:rFonts w:ascii="Arial" w:hAnsi="Arial" w:cs="Arial"/>
          <w:noProof/>
          <w:lang w:val="en-US" w:eastAsia="es-MX"/>
        </w:rPr>
        <w:t>as cardíacas se dividen en:</w:t>
      </w:r>
      <w:r w:rsidRPr="00FA54C7">
        <w:rPr>
          <w:rFonts w:ascii="Arial" w:hAnsi="Arial" w:cs="Arial"/>
          <w:noProof/>
          <w:lang w:val="en-US" w:eastAsia="es-MX"/>
        </w:rPr>
        <w:cr/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2. Trastornos en la conducción de los impulsos.</w:t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3. Trastornos del automatismo.</w:t>
      </w:r>
      <w:r w:rsidRPr="00FA54C7">
        <w:rPr>
          <w:rFonts w:ascii="Arial" w:hAnsi="Arial" w:cs="Arial"/>
          <w:noProof/>
          <w:lang w:val="en-US" w:eastAsia="es-MX"/>
        </w:rPr>
        <w:cr/>
      </w: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lastRenderedPageBreak/>
        <w:t>4. Combinación de ambos. Alteraciones en el inicio del impulso: Automatismo.</w:t>
      </w:r>
    </w:p>
    <w:p w:rsidR="003D7F5F" w:rsidRPr="00FA54C7" w:rsidRDefault="003D7F5F" w:rsidP="00E36870">
      <w:pPr>
        <w:spacing w:line="360" w:lineRule="auto"/>
        <w:rPr>
          <w:rFonts w:ascii="Arial" w:hAnsi="Arial" w:cs="Arial"/>
          <w:noProof/>
          <w:lang w:eastAsia="es-MX"/>
        </w:rPr>
      </w:pP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val="en-US" w:eastAsia="es-MX"/>
        </w:rPr>
      </w:pPr>
      <w:r w:rsidRPr="00FA54C7">
        <w:rPr>
          <w:rFonts w:ascii="Arial" w:hAnsi="Arial" w:cs="Arial"/>
          <w:noProof/>
          <w:lang w:val="en-US" w:eastAsia="es-MX"/>
        </w:rPr>
        <w:t>Para poder asistir a un paciente que se encuentre afectado por un desastre natural o una catástrofe es necesario de la ayuda del equipo de enfermería y debe de haber una buena organización y comunicación. El que se encuentre a cargo debe de saber bien acer</w:t>
      </w:r>
      <w:r w:rsidRPr="00FA54C7">
        <w:rPr>
          <w:rFonts w:ascii="Arial" w:hAnsi="Arial" w:cs="Arial"/>
          <w:noProof/>
          <w:lang w:val="en-US" w:eastAsia="es-MX"/>
        </w:rPr>
        <w:t xml:space="preserve">ca del manejo de un paciente ya sea en una quemadura, un abogado o intoxicado y saber bien el triage para poder clasificar a los afectados, saber cuáles son los pacientes de urgercia y emergencia. </w:t>
      </w:r>
    </w:p>
    <w:p w:rsidR="003D7F5F" w:rsidRPr="00FA54C7" w:rsidRDefault="003D7F5F" w:rsidP="00E36870">
      <w:pPr>
        <w:spacing w:line="360" w:lineRule="auto"/>
        <w:rPr>
          <w:rFonts w:ascii="Arial" w:hAnsi="Arial" w:cs="Arial"/>
          <w:noProof/>
          <w:lang w:eastAsia="es-MX"/>
        </w:rPr>
      </w:pPr>
    </w:p>
    <w:p w:rsidR="003D7F5F" w:rsidRPr="00FA54C7" w:rsidRDefault="003A210C" w:rsidP="00E36870">
      <w:pPr>
        <w:spacing w:line="360" w:lineRule="auto"/>
        <w:rPr>
          <w:rFonts w:ascii="Arial" w:hAnsi="Arial" w:cs="Arial"/>
          <w:noProof/>
          <w:lang w:eastAsia="es-MX"/>
        </w:rPr>
      </w:pPr>
      <w:r w:rsidRPr="00FA54C7">
        <w:rPr>
          <w:rFonts w:ascii="Arial" w:hAnsi="Arial" w:cs="Arial"/>
          <w:noProof/>
          <w:lang w:val="en-US" w:eastAsia="es-MX"/>
        </w:rPr>
        <w:t>Bibliografía: antología UDS.</w:t>
      </w:r>
    </w:p>
    <w:sectPr w:rsidR="003D7F5F" w:rsidRPr="00FA54C7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A210C">
      <w:pPr>
        <w:spacing w:after="0" w:line="240" w:lineRule="auto"/>
      </w:pPr>
      <w:r>
        <w:separator/>
      </w:r>
    </w:p>
  </w:endnote>
  <w:endnote w:type="continuationSeparator" w:id="0">
    <w:p w:rsidR="00000000" w:rsidRDefault="003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D7F5F">
      <w:trPr>
        <w:trHeight w:hRule="exact" w:val="115"/>
        <w:jc w:val="center"/>
      </w:trPr>
      <w:tc>
        <w:tcPr>
          <w:tcW w:w="4686" w:type="dxa"/>
          <w:shd w:val="clear" w:color="auto" w:fill="5B9BD5"/>
          <w:tcMar>
            <w:top w:w="0" w:type="dxa"/>
            <w:bottom w:w="0" w:type="dxa"/>
          </w:tcMar>
        </w:tcPr>
        <w:p w:rsidR="003D7F5F" w:rsidRDefault="003D7F5F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/>
          <w:tcMar>
            <w:top w:w="0" w:type="dxa"/>
            <w:bottom w:w="0" w:type="dxa"/>
          </w:tcMar>
        </w:tcPr>
        <w:p w:rsidR="003D7F5F" w:rsidRDefault="003D7F5F">
          <w:pPr>
            <w:pStyle w:val="Encabezado"/>
            <w:jc w:val="right"/>
            <w:rPr>
              <w:caps/>
              <w:sz w:val="18"/>
            </w:rPr>
          </w:pPr>
        </w:p>
      </w:tc>
    </w:tr>
    <w:tr w:rsidR="003D7F5F">
      <w:trPr>
        <w:jc w:val="center"/>
      </w:trPr>
      <w:tc>
        <w:tcPr>
          <w:tcW w:w="4686" w:type="dxa"/>
          <w:shd w:val="clear" w:color="auto" w:fill="auto"/>
          <w:vAlign w:val="center"/>
        </w:tcPr>
        <w:p w:rsidR="003D7F5F" w:rsidRDefault="003A210C">
          <w:pPr>
            <w:pStyle w:val="Piedepgina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Universidad del sureste</w:t>
          </w:r>
        </w:p>
      </w:tc>
      <w:tc>
        <w:tcPr>
          <w:tcW w:w="4674" w:type="dxa"/>
          <w:shd w:val="clear" w:color="auto" w:fill="auto"/>
          <w:vAlign w:val="center"/>
        </w:tcPr>
        <w:p w:rsidR="003D7F5F" w:rsidRDefault="003A210C">
          <w:pPr>
            <w:pStyle w:val="Piedepgina"/>
            <w:jc w:val="right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/>
              <w:sz w:val="18"/>
              <w:szCs w:val="18"/>
            </w:rPr>
            <w:t>2</w:t>
          </w:r>
          <w:r>
            <w:rPr>
              <w:caps/>
              <w:noProof/>
              <w:color w:val="808080"/>
              <w:sz w:val="18"/>
              <w:szCs w:val="18"/>
            </w:rPr>
            <w:fldChar w:fldCharType="end"/>
          </w:r>
        </w:p>
      </w:tc>
    </w:tr>
  </w:tbl>
  <w:p w:rsidR="003D7F5F" w:rsidRDefault="003D7F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A210C">
      <w:pPr>
        <w:spacing w:after="0" w:line="240" w:lineRule="auto"/>
      </w:pPr>
      <w:r>
        <w:separator/>
      </w:r>
    </w:p>
  </w:footnote>
  <w:footnote w:type="continuationSeparator" w:id="0">
    <w:p w:rsidR="00000000" w:rsidRDefault="003A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F5F" w:rsidRDefault="003A210C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4097" name="Pictur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6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31545" cy="4248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4098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4099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000000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0000009"/>
    <w:multiLevelType w:val="hybridMultilevel"/>
    <w:tmpl w:val="7CE85A36"/>
    <w:lvl w:ilvl="0" w:tplc="08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000000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0000001A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0000001B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0000001C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D"/>
    <w:multiLevelType w:val="hybridMultilevel"/>
    <w:tmpl w:val="6DBE9592"/>
    <w:lvl w:ilvl="0" w:tplc="08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7D803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189461D2"/>
    <w:lvl w:ilvl="0" w:tplc="08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3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00000024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0000002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7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="Calibri" w:cs="SimSu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A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2B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98485">
    <w:abstractNumId w:val="22"/>
  </w:num>
  <w:num w:numId="2" w16cid:durableId="1298729652">
    <w:abstractNumId w:val="24"/>
  </w:num>
  <w:num w:numId="3" w16cid:durableId="86464700">
    <w:abstractNumId w:val="35"/>
  </w:num>
  <w:num w:numId="4" w16cid:durableId="277416709">
    <w:abstractNumId w:val="27"/>
  </w:num>
  <w:num w:numId="5" w16cid:durableId="2147045053">
    <w:abstractNumId w:val="10"/>
  </w:num>
  <w:num w:numId="6" w16cid:durableId="923144868">
    <w:abstractNumId w:val="15"/>
  </w:num>
  <w:num w:numId="7" w16cid:durableId="1277909329">
    <w:abstractNumId w:val="34"/>
  </w:num>
  <w:num w:numId="8" w16cid:durableId="1205219824">
    <w:abstractNumId w:val="7"/>
  </w:num>
  <w:num w:numId="9" w16cid:durableId="124786025">
    <w:abstractNumId w:val="9"/>
  </w:num>
  <w:num w:numId="10" w16cid:durableId="1461731195">
    <w:abstractNumId w:val="18"/>
  </w:num>
  <w:num w:numId="11" w16cid:durableId="223298466">
    <w:abstractNumId w:val="33"/>
  </w:num>
  <w:num w:numId="12" w16cid:durableId="252472876">
    <w:abstractNumId w:val="11"/>
  </w:num>
  <w:num w:numId="13" w16cid:durableId="587546766">
    <w:abstractNumId w:val="25"/>
  </w:num>
  <w:num w:numId="14" w16cid:durableId="1247182000">
    <w:abstractNumId w:val="14"/>
  </w:num>
  <w:num w:numId="15" w16cid:durableId="1502622270">
    <w:abstractNumId w:val="36"/>
  </w:num>
  <w:num w:numId="16" w16cid:durableId="1771898691">
    <w:abstractNumId w:val="8"/>
  </w:num>
  <w:num w:numId="17" w16cid:durableId="716322688">
    <w:abstractNumId w:val="6"/>
  </w:num>
  <w:num w:numId="18" w16cid:durableId="1538202619">
    <w:abstractNumId w:val="2"/>
  </w:num>
  <w:num w:numId="19" w16cid:durableId="451899887">
    <w:abstractNumId w:val="41"/>
  </w:num>
  <w:num w:numId="20" w16cid:durableId="1828789436">
    <w:abstractNumId w:val="29"/>
  </w:num>
  <w:num w:numId="21" w16cid:durableId="354768040">
    <w:abstractNumId w:val="42"/>
  </w:num>
  <w:num w:numId="22" w16cid:durableId="614870615">
    <w:abstractNumId w:val="3"/>
  </w:num>
  <w:num w:numId="23" w16cid:durableId="2111005976">
    <w:abstractNumId w:val="37"/>
  </w:num>
  <w:num w:numId="24" w16cid:durableId="1619751001">
    <w:abstractNumId w:val="43"/>
  </w:num>
  <w:num w:numId="25" w16cid:durableId="1326863594">
    <w:abstractNumId w:val="38"/>
  </w:num>
  <w:num w:numId="26" w16cid:durableId="632251814">
    <w:abstractNumId w:val="5"/>
  </w:num>
  <w:num w:numId="27" w16cid:durableId="2004238846">
    <w:abstractNumId w:val="20"/>
  </w:num>
  <w:num w:numId="28" w16cid:durableId="44839921">
    <w:abstractNumId w:val="1"/>
  </w:num>
  <w:num w:numId="29" w16cid:durableId="1556506020">
    <w:abstractNumId w:val="12"/>
  </w:num>
  <w:num w:numId="30" w16cid:durableId="1279412122">
    <w:abstractNumId w:val="23"/>
  </w:num>
  <w:num w:numId="31" w16cid:durableId="514612861">
    <w:abstractNumId w:val="26"/>
  </w:num>
  <w:num w:numId="32" w16cid:durableId="143278265">
    <w:abstractNumId w:val="13"/>
  </w:num>
  <w:num w:numId="33" w16cid:durableId="738526384">
    <w:abstractNumId w:val="31"/>
  </w:num>
  <w:num w:numId="34" w16cid:durableId="145557024">
    <w:abstractNumId w:val="39"/>
  </w:num>
  <w:num w:numId="35" w16cid:durableId="86000039">
    <w:abstractNumId w:val="19"/>
  </w:num>
  <w:num w:numId="36" w16cid:durableId="218591690">
    <w:abstractNumId w:val="17"/>
  </w:num>
  <w:num w:numId="37" w16cid:durableId="698051207">
    <w:abstractNumId w:val="21"/>
  </w:num>
  <w:num w:numId="38" w16cid:durableId="1277178325">
    <w:abstractNumId w:val="16"/>
  </w:num>
  <w:num w:numId="39" w16cid:durableId="1664772955">
    <w:abstractNumId w:val="0"/>
  </w:num>
  <w:num w:numId="40" w16cid:durableId="416555744">
    <w:abstractNumId w:val="28"/>
  </w:num>
  <w:num w:numId="41" w16cid:durableId="1265650850">
    <w:abstractNumId w:val="4"/>
  </w:num>
  <w:num w:numId="42" w16cid:durableId="1973708676">
    <w:abstractNumId w:val="32"/>
  </w:num>
  <w:num w:numId="43" w16cid:durableId="1245380728">
    <w:abstractNumId w:val="40"/>
  </w:num>
  <w:num w:numId="44" w16cid:durableId="18925748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F5F"/>
    <w:rsid w:val="003A210C"/>
    <w:rsid w:val="003D7F5F"/>
    <w:rsid w:val="00654C09"/>
    <w:rsid w:val="0077120A"/>
    <w:rsid w:val="00E36870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5340B3-5CB5-D347-BE72-27ED1420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1Car">
    <w:name w:val="Título 1 Car"/>
    <w:basedOn w:val="Fuentedeprrafopredeter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customStyle="1" w:styleId="piefotos">
    <w:name w:val="piefoto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visitado">
    <w:name w:val="FollowedHyperlink"/>
    <w:basedOn w:val="Fuentedeprrafopredeter"/>
    <w:uiPriority w:val="99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11">
    <w:name w:val="Tabla de cuadrícula 4 - Énfasis 1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Calendario4">
    <w:name w:val="Calendario 4"/>
    <w:basedOn w:val="Tablanormal"/>
    <w:uiPriority w:val="99"/>
    <w:qFormat/>
    <w:pPr>
      <w:snapToGrid w:val="0"/>
      <w:spacing w:after="0" w:line="240" w:lineRule="auto"/>
    </w:pPr>
    <w:rPr>
      <w:rFonts w:eastAsia="SimSun"/>
      <w:b/>
      <w:bCs/>
      <w:color w:val="FFFFFF"/>
      <w:sz w:val="16"/>
      <w:szCs w:val="16"/>
      <w:lang w:eastAsia="es-MX"/>
    </w:rPr>
    <w:tblPr>
      <w:tblStyleRow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shd w:val="clear" w:color="auto" w:fill="1F4E79"/>
    </w:tblPr>
    <w:tcPr>
      <w:shd w:val="clear" w:color="auto" w:fill="1F4E79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5B9BD5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5B9BD5"/>
      <w:spacing w:val="5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Calibri Light" w:eastAsia="SimSun" w:hAnsi="Calibri Light" w:cs="SimSun"/>
      <w:b/>
      <w:bCs/>
      <w:i/>
      <w:iCs/>
      <w:color w:val="5B9BD5"/>
    </w:rPr>
  </w:style>
  <w:style w:type="paragraph" w:customStyle="1" w:styleId="Pa5">
    <w:name w:val="Pa5"/>
    <w:basedOn w:val="Default"/>
    <w:next w:val="Default"/>
    <w:uiPriority w:val="99"/>
    <w:pPr>
      <w:spacing w:line="241" w:lineRule="atLeast"/>
    </w:pPr>
    <w:rPr>
      <w:rFonts w:ascii="Presidencia Base" w:hAnsi="Presidencia Base" w:cs="SimSun"/>
      <w:color w:val="auto"/>
    </w:rPr>
  </w:style>
  <w:style w:type="character" w:customStyle="1" w:styleId="A6">
    <w:name w:val="A6"/>
    <w:uiPriority w:val="99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pPr>
      <w:spacing w:line="241" w:lineRule="atLeast"/>
    </w:pPr>
    <w:rPr>
      <w:rFonts w:ascii="Presidencia Firme" w:hAnsi="Presidencia Firme" w:cs="SimSun"/>
      <w:color w:val="auto"/>
    </w:rPr>
  </w:style>
  <w:style w:type="character" w:customStyle="1" w:styleId="A14">
    <w:name w:val="A14"/>
    <w:uiPriority w:val="99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pPr>
      <w:spacing w:line="241" w:lineRule="atLeast"/>
    </w:pPr>
    <w:rPr>
      <w:rFonts w:ascii="Presidencia Base" w:hAnsi="Presidencia Base" w:cs="SimSun"/>
      <w:color w:val="auto"/>
    </w:rPr>
  </w:style>
  <w:style w:type="character" w:customStyle="1" w:styleId="A15">
    <w:name w:val="A15"/>
    <w:uiPriority w:val="99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pPr>
      <w:spacing w:line="241" w:lineRule="atLeast"/>
    </w:pPr>
    <w:rPr>
      <w:rFonts w:ascii="Presidencia Fina" w:hAnsi="Presidencia Fina" w:cs="SimSun"/>
      <w:color w:val="auto"/>
    </w:rPr>
  </w:style>
  <w:style w:type="paragraph" w:customStyle="1" w:styleId="Pa9">
    <w:name w:val="Pa9"/>
    <w:basedOn w:val="Default"/>
    <w:next w:val="Default"/>
    <w:uiPriority w:val="99"/>
    <w:pPr>
      <w:spacing w:line="261" w:lineRule="atLeast"/>
    </w:pPr>
    <w:rPr>
      <w:rFonts w:ascii="Presidencia Fina" w:hAnsi="Presidencia Fina" w:cs="SimSun"/>
      <w:color w:val="auto"/>
    </w:rPr>
  </w:style>
  <w:style w:type="paragraph" w:customStyle="1" w:styleId="Pa11">
    <w:name w:val="Pa11"/>
    <w:basedOn w:val="Default"/>
    <w:next w:val="Default"/>
    <w:uiPriority w:val="99"/>
    <w:pPr>
      <w:spacing w:line="241" w:lineRule="atLeast"/>
    </w:pPr>
    <w:rPr>
      <w:rFonts w:ascii="Presidencia Fina" w:hAnsi="Presidencia Fina" w:cs="SimSun"/>
      <w:color w:val="auto"/>
    </w:rPr>
  </w:style>
  <w:style w:type="paragraph" w:customStyle="1" w:styleId="Pa26">
    <w:name w:val="Pa26"/>
    <w:basedOn w:val="Default"/>
    <w:next w:val="Default"/>
    <w:uiPriority w:val="99"/>
    <w:pPr>
      <w:spacing w:line="241" w:lineRule="atLeast"/>
    </w:pPr>
    <w:rPr>
      <w:rFonts w:ascii="Presidencia Fina" w:hAnsi="Presidencia Fina" w:cs="SimSun"/>
      <w:color w:val="auto"/>
    </w:rPr>
  </w:style>
  <w:style w:type="paragraph" w:customStyle="1" w:styleId="Pa17">
    <w:name w:val="Pa17"/>
    <w:basedOn w:val="Default"/>
    <w:next w:val="Default"/>
    <w:uiPriority w:val="99"/>
    <w:pPr>
      <w:spacing w:line="241" w:lineRule="atLeast"/>
    </w:pPr>
    <w:rPr>
      <w:rFonts w:ascii="Presidencia Fina" w:hAnsi="Presidencia Fina" w:cs="SimSun"/>
      <w:color w:val="auto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Textoindependiente">
    <w:name w:val="Body Text"/>
    <w:basedOn w:val="Normal"/>
    <w:link w:val="TextoindependienteCar"/>
    <w:uiPriority w:val="99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</w:style>
  <w:style w:type="table" w:customStyle="1" w:styleId="Tablaconcuadrcula1clara-nfasis11">
    <w:name w:val="Tabla con cuadrícula 1 clara - Énfasis 1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</w:style>
  <w:style w:type="character" w:customStyle="1" w:styleId="Ttulo6Car">
    <w:name w:val="Título 6 Car"/>
    <w:basedOn w:val="Fuentedeprrafopredeter"/>
    <w:link w:val="Ttulo6"/>
    <w:uiPriority w:val="9"/>
    <w:rPr>
      <w:rFonts w:ascii="Calibri Light" w:eastAsia="SimSun" w:hAnsi="Calibri Light" w:cs="SimSun"/>
      <w:i/>
      <w:iCs/>
      <w:color w:val="1F4D78"/>
    </w:rPr>
  </w:style>
  <w:style w:type="table" w:customStyle="1" w:styleId="Tabladecuadrcula1clara-nfasis11">
    <w:name w:val="Tabla de cuadrícula 1 clara - Énfasis 1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61">
    <w:name w:val="Tabla de cuadrícula 4 - Énfasis 6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pPr>
      <w:spacing w:after="0" w:line="240" w:lineRule="auto"/>
    </w:pPr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</w:style>
  <w:style w:type="character" w:customStyle="1" w:styleId="ls20">
    <w:name w:val="ls20"/>
    <w:basedOn w:val="Fuentedeprrafopredeter"/>
  </w:style>
  <w:style w:type="character" w:customStyle="1" w:styleId="ff2">
    <w:name w:val="ff2"/>
    <w:basedOn w:val="Fuentedeprrafopredeter"/>
  </w:style>
  <w:style w:type="character" w:customStyle="1" w:styleId="ls25">
    <w:name w:val="ls25"/>
    <w:basedOn w:val="Fuentedeprrafopredeter"/>
  </w:style>
  <w:style w:type="character" w:customStyle="1" w:styleId="ls27">
    <w:name w:val="ls27"/>
    <w:basedOn w:val="Fuentedeprrafopredeter"/>
  </w:style>
  <w:style w:type="character" w:customStyle="1" w:styleId="ls29">
    <w:name w:val="ls29"/>
    <w:basedOn w:val="Fuentedeprrafopredeter"/>
  </w:style>
  <w:style w:type="character" w:customStyle="1" w:styleId="ff1">
    <w:name w:val="ff1"/>
    <w:basedOn w:val="Fuentedeprrafopredeter"/>
  </w:style>
  <w:style w:type="character" w:customStyle="1" w:styleId="ls32">
    <w:name w:val="ls32"/>
    <w:basedOn w:val="Fuentedeprrafopredeter"/>
  </w:style>
  <w:style w:type="character" w:customStyle="1" w:styleId="ls34">
    <w:name w:val="ls34"/>
    <w:basedOn w:val="Fuentedeprrafopredeter"/>
  </w:style>
  <w:style w:type="character" w:customStyle="1" w:styleId="ls35">
    <w:name w:val="ls35"/>
    <w:basedOn w:val="Fuentedeprrafopredeter"/>
  </w:style>
  <w:style w:type="character" w:customStyle="1" w:styleId="ls36">
    <w:name w:val="ls36"/>
    <w:basedOn w:val="Fuentedeprrafopredeter"/>
  </w:style>
  <w:style w:type="character" w:customStyle="1" w:styleId="ls37">
    <w:name w:val="ls37"/>
    <w:basedOn w:val="Fuentedeprrafopredeter"/>
  </w:style>
  <w:style w:type="character" w:customStyle="1" w:styleId="ls3a">
    <w:name w:val="ls3a"/>
    <w:basedOn w:val="Fuentedeprrafopredeter"/>
  </w:style>
  <w:style w:type="character" w:customStyle="1" w:styleId="ls3c">
    <w:name w:val="ls3c"/>
    <w:basedOn w:val="Fuentedeprrafopredeter"/>
  </w:style>
  <w:style w:type="character" w:customStyle="1" w:styleId="ls0">
    <w:name w:val="ls0"/>
    <w:basedOn w:val="Fuentedeprrafopredeter"/>
  </w:style>
  <w:style w:type="character" w:customStyle="1" w:styleId="ls61">
    <w:name w:val="ls61"/>
    <w:basedOn w:val="Fuentedeprrafopredeter"/>
  </w:style>
  <w:style w:type="character" w:customStyle="1" w:styleId="ls64">
    <w:name w:val="ls64"/>
    <w:basedOn w:val="Fuentedeprrafopredeter"/>
  </w:style>
  <w:style w:type="character" w:customStyle="1" w:styleId="ls67">
    <w:name w:val="ls67"/>
    <w:basedOn w:val="Fuentedeprrafopredeter"/>
  </w:style>
  <w:style w:type="character" w:customStyle="1" w:styleId="ls6a">
    <w:name w:val="ls6a"/>
    <w:basedOn w:val="Fuentedeprrafopredeter"/>
  </w:style>
  <w:style w:type="character" w:customStyle="1" w:styleId="ls6d">
    <w:name w:val="ls6d"/>
    <w:basedOn w:val="Fuentedeprrafopredeter"/>
  </w:style>
  <w:style w:type="character" w:customStyle="1" w:styleId="ls74">
    <w:name w:val="ls74"/>
    <w:basedOn w:val="Fuentedeprrafopredeter"/>
  </w:style>
  <w:style w:type="character" w:customStyle="1" w:styleId="ls77">
    <w:name w:val="ls77"/>
    <w:basedOn w:val="Fuentedeprrafopredeter"/>
  </w:style>
  <w:style w:type="character" w:customStyle="1" w:styleId="ls73">
    <w:name w:val="ls73"/>
    <w:basedOn w:val="Fuentedeprrafopredeter"/>
  </w:style>
  <w:style w:type="character" w:customStyle="1" w:styleId="ls79">
    <w:name w:val="ls79"/>
    <w:basedOn w:val="Fuentedeprrafopredeter"/>
  </w:style>
  <w:style w:type="character" w:customStyle="1" w:styleId="ls85">
    <w:name w:val="ls85"/>
    <w:basedOn w:val="Fuentedeprrafopredeter"/>
  </w:style>
  <w:style w:type="character" w:customStyle="1" w:styleId="ls7e">
    <w:name w:val="ls7e"/>
    <w:basedOn w:val="Fuentedeprrafopredeter"/>
  </w:style>
  <w:style w:type="paragraph" w:customStyle="1" w:styleId="example">
    <w:name w:val="examp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8134-0E30-4A1D-B3EB-B8B1DB5A06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2062</Words>
  <Characters>11343</Characters>
  <Application>Microsoft Office Word</Application>
  <DocSecurity>0</DocSecurity>
  <Lines>94</Lines>
  <Paragraphs>26</Paragraphs>
  <ScaleCrop>false</ScaleCrop>
  <Company>Luffi</Company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hidalgorobleromariajose@gmail.com</cp:lastModifiedBy>
  <cp:revision>6</cp:revision>
  <cp:lastPrinted>2021-02-08T01:03:00Z</cp:lastPrinted>
  <dcterms:created xsi:type="dcterms:W3CDTF">2022-10-17T02:29:00Z</dcterms:created>
  <dcterms:modified xsi:type="dcterms:W3CDTF">2022-10-17T04:27:00Z</dcterms:modified>
</cp:coreProperties>
</file>