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8A5A1" w14:textId="05909B86" w:rsidR="00723022" w:rsidRDefault="0020459D"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8240" behindDoc="0" locked="0" layoutInCell="1" allowOverlap="1" wp14:anchorId="17AB19A1" wp14:editId="0FB8E32F">
            <wp:simplePos x="0" y="0"/>
            <wp:positionH relativeFrom="margin">
              <wp:align>center</wp:align>
            </wp:positionH>
            <wp:positionV relativeFrom="margin">
              <wp:posOffset>-327660</wp:posOffset>
            </wp:positionV>
            <wp:extent cx="5612130" cy="2602343"/>
            <wp:effectExtent l="0" t="0" r="7620" b="7620"/>
            <wp:wrapSquare wrapText="bothSides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7950C8" w14:textId="661CCDD0" w:rsidR="0020459D" w:rsidRDefault="0020459D"/>
    <w:p w14:paraId="7A109780" w14:textId="6990FBC3" w:rsidR="0020459D" w:rsidRPr="001533A0" w:rsidRDefault="0020459D">
      <w:pPr>
        <w:rPr>
          <w:sz w:val="44"/>
          <w:szCs w:val="44"/>
        </w:rPr>
      </w:pPr>
    </w:p>
    <w:p w14:paraId="16E1A98F" w14:textId="7DF2C706" w:rsidR="0020459D" w:rsidRPr="001533A0" w:rsidRDefault="0020459D" w:rsidP="0020459D">
      <w:pPr>
        <w:rPr>
          <w:rFonts w:ascii="Gill Sans MT" w:hAnsi="Gill Sans MT"/>
          <w:i/>
          <w:color w:val="131E32"/>
          <w:sz w:val="44"/>
          <w:szCs w:val="44"/>
        </w:rPr>
      </w:pPr>
      <w:r w:rsidRPr="001533A0">
        <w:rPr>
          <w:rFonts w:ascii="Gill Sans MT" w:hAnsi="Gill Sans MT"/>
          <w:i/>
          <w:color w:val="131E32"/>
          <w:sz w:val="44"/>
          <w:szCs w:val="44"/>
        </w:rPr>
        <w:t>Nombre del Alumno: Lorenzo Antonio Genarez pinto</w:t>
      </w:r>
    </w:p>
    <w:p w14:paraId="6A328C31" w14:textId="4C3F1852" w:rsidR="0020459D" w:rsidRPr="001533A0" w:rsidRDefault="0020459D" w:rsidP="0020459D">
      <w:pPr>
        <w:rPr>
          <w:rFonts w:ascii="Gill Sans MT" w:hAnsi="Gill Sans MT"/>
          <w:i/>
          <w:color w:val="131E32"/>
          <w:sz w:val="44"/>
          <w:szCs w:val="44"/>
        </w:rPr>
      </w:pPr>
      <w:r w:rsidRPr="001533A0">
        <w:rPr>
          <w:rFonts w:ascii="Gill Sans MT" w:hAnsi="Gill Sans MT"/>
          <w:i/>
          <w:color w:val="131E32"/>
          <w:sz w:val="44"/>
          <w:szCs w:val="44"/>
        </w:rPr>
        <w:t>Nombre del tema: Fundamentos de la psicología de la salud</w:t>
      </w:r>
    </w:p>
    <w:p w14:paraId="30392B50" w14:textId="245C95C6" w:rsidR="0020459D" w:rsidRPr="001533A0" w:rsidRDefault="0020459D" w:rsidP="0020459D">
      <w:pPr>
        <w:rPr>
          <w:rFonts w:ascii="Gill Sans MT" w:hAnsi="Gill Sans MT"/>
          <w:i/>
          <w:color w:val="131E32"/>
          <w:sz w:val="44"/>
          <w:szCs w:val="44"/>
        </w:rPr>
      </w:pPr>
      <w:r w:rsidRPr="001533A0">
        <w:rPr>
          <w:rFonts w:ascii="Gill Sans MT" w:hAnsi="Gill Sans MT"/>
          <w:i/>
          <w:color w:val="131E32"/>
          <w:sz w:val="44"/>
          <w:szCs w:val="44"/>
        </w:rPr>
        <w:t>Parcial: 1</w:t>
      </w:r>
    </w:p>
    <w:p w14:paraId="1C3F6B0A" w14:textId="78F23BD5" w:rsidR="0020459D" w:rsidRPr="001533A0" w:rsidRDefault="0020459D" w:rsidP="0020459D">
      <w:pPr>
        <w:rPr>
          <w:rFonts w:ascii="Gill Sans MT" w:hAnsi="Gill Sans MT"/>
          <w:i/>
          <w:color w:val="131E32"/>
          <w:sz w:val="44"/>
          <w:szCs w:val="44"/>
        </w:rPr>
      </w:pPr>
      <w:r w:rsidRPr="001533A0">
        <w:rPr>
          <w:rFonts w:ascii="Gill Sans MT" w:hAnsi="Gill Sans MT"/>
          <w:i/>
          <w:color w:val="131E32"/>
          <w:sz w:val="44"/>
          <w:szCs w:val="44"/>
        </w:rPr>
        <w:t>Nombre de la Materia: Psicología y salud</w:t>
      </w:r>
    </w:p>
    <w:p w14:paraId="47FA2358" w14:textId="40E9D7EA" w:rsidR="0020459D" w:rsidRPr="001533A0" w:rsidRDefault="0020459D" w:rsidP="0020459D">
      <w:pPr>
        <w:shd w:val="clear" w:color="auto" w:fill="FFFFFF" w:themeFill="background1"/>
        <w:rPr>
          <w:rFonts w:ascii="Gill Sans MT" w:hAnsi="Gill Sans MT"/>
          <w:i/>
          <w:color w:val="131E32"/>
          <w:sz w:val="44"/>
          <w:szCs w:val="44"/>
        </w:rPr>
      </w:pPr>
      <w:r w:rsidRPr="001533A0">
        <w:rPr>
          <w:rFonts w:ascii="Gill Sans MT" w:hAnsi="Gill Sans MT"/>
          <w:i/>
          <w:color w:val="131E32"/>
          <w:sz w:val="44"/>
          <w:szCs w:val="44"/>
        </w:rPr>
        <w:t>Nombre del profesor: Liliana Villegas López</w:t>
      </w:r>
    </w:p>
    <w:p w14:paraId="622AB019" w14:textId="19DE2575" w:rsidR="0020459D" w:rsidRPr="001533A0" w:rsidRDefault="0020459D" w:rsidP="0020459D">
      <w:pPr>
        <w:shd w:val="clear" w:color="auto" w:fill="FFFFFF" w:themeFill="background1"/>
        <w:rPr>
          <w:rFonts w:ascii="Gill Sans MT" w:hAnsi="Gill Sans MT"/>
          <w:i/>
          <w:color w:val="131E32"/>
          <w:sz w:val="44"/>
          <w:szCs w:val="44"/>
        </w:rPr>
      </w:pPr>
      <w:r w:rsidRPr="001533A0">
        <w:rPr>
          <w:rFonts w:ascii="Gill Sans MT" w:hAnsi="Gill Sans MT"/>
          <w:i/>
          <w:color w:val="131E32"/>
          <w:sz w:val="44"/>
          <w:szCs w:val="44"/>
        </w:rPr>
        <w:t xml:space="preserve">Nombre de la Licenciatura: </w:t>
      </w:r>
      <w:r w:rsidR="00D80118" w:rsidRPr="001533A0">
        <w:rPr>
          <w:rFonts w:ascii="Gill Sans MT" w:hAnsi="Gill Sans MT"/>
          <w:i/>
          <w:color w:val="131E32"/>
          <w:sz w:val="44"/>
          <w:szCs w:val="44"/>
        </w:rPr>
        <w:t>Licenciatura en Enfermería</w:t>
      </w:r>
    </w:p>
    <w:p w14:paraId="1AB293B7" w14:textId="1C136569" w:rsidR="0020459D" w:rsidRPr="001533A0" w:rsidRDefault="0020459D" w:rsidP="0020459D">
      <w:pPr>
        <w:shd w:val="clear" w:color="auto" w:fill="FFFFFF" w:themeFill="background1"/>
        <w:rPr>
          <w:rFonts w:ascii="Gill Sans MT" w:hAnsi="Gill Sans MT"/>
          <w:i/>
          <w:color w:val="131E32"/>
          <w:sz w:val="44"/>
          <w:szCs w:val="44"/>
        </w:rPr>
      </w:pPr>
      <w:r w:rsidRPr="001533A0">
        <w:rPr>
          <w:rFonts w:ascii="Gill Sans MT" w:hAnsi="Gill Sans MT"/>
          <w:i/>
          <w:color w:val="131E32"/>
          <w:sz w:val="44"/>
          <w:szCs w:val="44"/>
        </w:rPr>
        <w:t>Cuatrimestre: 1</w:t>
      </w:r>
    </w:p>
    <w:p w14:paraId="7F9F3B06" w14:textId="77777777" w:rsidR="0020459D" w:rsidRDefault="0020459D"/>
    <w:p w14:paraId="2DC7304B" w14:textId="6F939ED4" w:rsidR="0020459D" w:rsidRDefault="0020459D">
      <w:pPr>
        <w:sectPr w:rsidR="0020459D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A176830" w14:textId="61785460" w:rsidR="0020459D" w:rsidRPr="00BA1A15" w:rsidRDefault="0020459D" w:rsidP="0019700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A1A15">
        <w:rPr>
          <w:rFonts w:ascii="Arial" w:hAnsi="Arial" w:cs="Arial"/>
          <w:b/>
          <w:bCs/>
          <w:sz w:val="24"/>
          <w:szCs w:val="24"/>
        </w:rPr>
        <w:lastRenderedPageBreak/>
        <w:t xml:space="preserve">Fundamentos de la psicología </w:t>
      </w:r>
      <w:r w:rsidR="00315F12" w:rsidRPr="00BA1A15">
        <w:rPr>
          <w:rFonts w:ascii="Arial" w:hAnsi="Arial" w:cs="Arial"/>
          <w:b/>
          <w:bCs/>
          <w:sz w:val="24"/>
          <w:szCs w:val="24"/>
        </w:rPr>
        <w:t>a la salud</w:t>
      </w:r>
    </w:p>
    <w:p w14:paraId="75970260" w14:textId="77777777" w:rsidR="00E57F0D" w:rsidRPr="0019700B" w:rsidRDefault="00E57F0D" w:rsidP="0019700B">
      <w:pPr>
        <w:jc w:val="both"/>
        <w:rPr>
          <w:rFonts w:ascii="Arial" w:hAnsi="Arial" w:cs="Arial"/>
          <w:color w:val="FF0000"/>
        </w:rPr>
      </w:pPr>
      <w:r w:rsidRPr="0019700B">
        <w:rPr>
          <w:rFonts w:ascii="Arial" w:hAnsi="Arial" w:cs="Arial"/>
          <w:color w:val="FF0000"/>
        </w:rPr>
        <w:t>1.1: fundamentos de la psicología de la salud</w:t>
      </w:r>
    </w:p>
    <w:p w14:paraId="6049DA0A" w14:textId="4E5E8106" w:rsidR="00315F12" w:rsidRPr="0019700B" w:rsidRDefault="00315F12" w:rsidP="0019700B">
      <w:pPr>
        <w:jc w:val="both"/>
        <w:rPr>
          <w:rFonts w:ascii="Arial" w:hAnsi="Arial" w:cs="Arial"/>
          <w:sz w:val="20"/>
          <w:szCs w:val="20"/>
        </w:rPr>
      </w:pPr>
      <w:r w:rsidRPr="0019700B">
        <w:rPr>
          <w:rFonts w:ascii="Arial" w:hAnsi="Arial" w:cs="Arial"/>
          <w:sz w:val="20"/>
          <w:szCs w:val="20"/>
        </w:rPr>
        <w:t xml:space="preserve">Tuvo </w:t>
      </w:r>
      <w:r w:rsidR="00E57F0D" w:rsidRPr="0019700B">
        <w:rPr>
          <w:rFonts w:ascii="Arial" w:hAnsi="Arial" w:cs="Arial"/>
          <w:sz w:val="20"/>
          <w:szCs w:val="20"/>
        </w:rPr>
        <w:t>sus</w:t>
      </w:r>
      <w:r w:rsidRPr="0019700B">
        <w:rPr>
          <w:rFonts w:ascii="Arial" w:hAnsi="Arial" w:cs="Arial"/>
          <w:sz w:val="20"/>
          <w:szCs w:val="20"/>
        </w:rPr>
        <w:t xml:space="preserve"> orígenes en los años 70</w:t>
      </w:r>
      <w:r w:rsidR="00E57F0D" w:rsidRPr="0019700B">
        <w:rPr>
          <w:rFonts w:ascii="Arial" w:hAnsi="Arial" w:cs="Arial"/>
          <w:sz w:val="20"/>
          <w:szCs w:val="20"/>
        </w:rPr>
        <w:t xml:space="preserve"> debido a las causas que aparecieron en la necesidad de </w:t>
      </w:r>
      <w:r w:rsidR="005C6237" w:rsidRPr="0019700B">
        <w:rPr>
          <w:rFonts w:ascii="Arial" w:hAnsi="Arial" w:cs="Arial"/>
          <w:sz w:val="20"/>
          <w:szCs w:val="20"/>
        </w:rPr>
        <w:t>abordar</w:t>
      </w:r>
      <w:r w:rsidR="00E57F0D" w:rsidRPr="0019700B">
        <w:rPr>
          <w:rFonts w:ascii="Arial" w:hAnsi="Arial" w:cs="Arial"/>
          <w:sz w:val="20"/>
          <w:szCs w:val="20"/>
        </w:rPr>
        <w:t xml:space="preserve"> el proceso de salud -enfermedad de los seres humanos, colaborando con otras disciplinas para mejorar la calidad de vida. </w:t>
      </w:r>
    </w:p>
    <w:p w14:paraId="62E65EC2" w14:textId="28A60F8A" w:rsidR="00E57F0D" w:rsidRPr="0019700B" w:rsidRDefault="00E57F0D" w:rsidP="0019700B">
      <w:pPr>
        <w:jc w:val="both"/>
        <w:rPr>
          <w:rFonts w:ascii="Arial" w:hAnsi="Arial" w:cs="Arial"/>
          <w:color w:val="00B0F0"/>
        </w:rPr>
      </w:pPr>
      <w:r w:rsidRPr="0019700B">
        <w:rPr>
          <w:rFonts w:ascii="Arial" w:hAnsi="Arial" w:cs="Arial"/>
          <w:color w:val="00B0F0"/>
        </w:rPr>
        <w:t>1.2 concepto de salud</w:t>
      </w:r>
    </w:p>
    <w:p w14:paraId="05AEDF1A" w14:textId="3AF8D719" w:rsidR="005C6237" w:rsidRPr="0019700B" w:rsidRDefault="005C6237" w:rsidP="0019700B">
      <w:pPr>
        <w:jc w:val="both"/>
        <w:rPr>
          <w:rFonts w:ascii="Arial" w:hAnsi="Arial" w:cs="Arial"/>
          <w:sz w:val="20"/>
          <w:szCs w:val="20"/>
        </w:rPr>
      </w:pPr>
      <w:r w:rsidRPr="0019700B">
        <w:rPr>
          <w:rFonts w:ascii="Arial" w:hAnsi="Arial" w:cs="Arial"/>
          <w:sz w:val="20"/>
          <w:szCs w:val="20"/>
        </w:rPr>
        <w:t>La salud</w:t>
      </w:r>
      <w:r w:rsidR="00EA5E31" w:rsidRPr="0019700B">
        <w:rPr>
          <w:rFonts w:ascii="Arial" w:hAnsi="Arial" w:cs="Arial"/>
          <w:sz w:val="20"/>
          <w:szCs w:val="20"/>
        </w:rPr>
        <w:t xml:space="preserve"> </w:t>
      </w:r>
      <w:r w:rsidRPr="0019700B">
        <w:rPr>
          <w:rFonts w:ascii="Arial" w:hAnsi="Arial" w:cs="Arial"/>
          <w:sz w:val="20"/>
          <w:szCs w:val="20"/>
        </w:rPr>
        <w:t>entendida en sentido amplio como el bienestar físico, psicológico y social, va mucho más allá del esquema biomédico, abarcando la esfera subjetiva y del comportamiento del ser humano, y desde el punto de vista subjetivo está relacionada con un sentimiento de bienestar. Y como menciona un autor llamado Dubos (1975).</w:t>
      </w:r>
    </w:p>
    <w:p w14:paraId="45060FA9" w14:textId="1C1CB768" w:rsidR="005C6237" w:rsidRPr="0019700B" w:rsidRDefault="005C6237" w:rsidP="0019700B">
      <w:pPr>
        <w:jc w:val="both"/>
        <w:rPr>
          <w:rFonts w:ascii="Arial" w:hAnsi="Arial" w:cs="Arial"/>
          <w:color w:val="00B050"/>
        </w:rPr>
      </w:pPr>
      <w:r w:rsidRPr="0019700B">
        <w:rPr>
          <w:rFonts w:ascii="Arial" w:hAnsi="Arial" w:cs="Arial"/>
          <w:color w:val="00B050"/>
        </w:rPr>
        <w:t>1.3 orígenes de la conducta humana</w:t>
      </w:r>
    </w:p>
    <w:p w14:paraId="7A71D22D" w14:textId="4F2781BF" w:rsidR="005C6237" w:rsidRPr="0019700B" w:rsidRDefault="005C6237" w:rsidP="0019700B">
      <w:pPr>
        <w:jc w:val="both"/>
        <w:rPr>
          <w:rFonts w:ascii="Arial" w:hAnsi="Arial" w:cs="Arial"/>
          <w:sz w:val="20"/>
          <w:szCs w:val="20"/>
        </w:rPr>
      </w:pPr>
      <w:r w:rsidRPr="0019700B">
        <w:rPr>
          <w:rFonts w:ascii="Arial" w:hAnsi="Arial" w:cs="Arial"/>
          <w:sz w:val="20"/>
          <w:szCs w:val="20"/>
        </w:rPr>
        <w:t xml:space="preserve">constituyen el conjunto de reacciones psíquicas de las personas, permitiendo conservar relaciones con el medio, mantienen el fenómeno de la vida y aseguran su continuidad. En otras </w:t>
      </w:r>
      <w:r w:rsidR="00EA5E31" w:rsidRPr="0019700B">
        <w:rPr>
          <w:rFonts w:ascii="Arial" w:hAnsi="Arial" w:cs="Arial"/>
          <w:sz w:val="20"/>
          <w:szCs w:val="20"/>
        </w:rPr>
        <w:t>palabras,</w:t>
      </w:r>
      <w:r w:rsidRPr="0019700B">
        <w:rPr>
          <w:rFonts w:ascii="Arial" w:hAnsi="Arial" w:cs="Arial"/>
          <w:sz w:val="20"/>
          <w:szCs w:val="20"/>
        </w:rPr>
        <w:t xml:space="preserve"> es la forma de ser del individuo y el conjunto de acciones efectúa con el fin de adecuarse a un ambiente.</w:t>
      </w:r>
    </w:p>
    <w:p w14:paraId="7701FC53" w14:textId="7B0BE1A7" w:rsidR="005C6237" w:rsidRPr="0019700B" w:rsidRDefault="005C6237" w:rsidP="0019700B">
      <w:pPr>
        <w:jc w:val="both"/>
        <w:rPr>
          <w:rFonts w:ascii="Arial" w:hAnsi="Arial" w:cs="Arial"/>
          <w:color w:val="FF0000"/>
        </w:rPr>
      </w:pPr>
      <w:r w:rsidRPr="0019700B">
        <w:rPr>
          <w:rFonts w:ascii="Arial" w:hAnsi="Arial" w:cs="Arial"/>
          <w:color w:val="FF0000"/>
        </w:rPr>
        <w:t>1.4 variables independientes en salud</w:t>
      </w:r>
    </w:p>
    <w:p w14:paraId="11DCC7B2" w14:textId="5C6721DA" w:rsidR="005C6237" w:rsidRPr="0019700B" w:rsidRDefault="00B7624B" w:rsidP="001970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5C6237" w:rsidRPr="0019700B">
        <w:rPr>
          <w:rFonts w:ascii="Arial" w:hAnsi="Arial" w:cs="Arial"/>
          <w:sz w:val="20"/>
          <w:szCs w:val="20"/>
        </w:rPr>
        <w:t>l modelo interactivo de conducta saludable de Heiby y Carlson (1986), se pueden distinguir tres tipos de variables independientes: 1. Las situacionales, tales como el apoyo social que se recibe de otros</w:t>
      </w:r>
      <w:r w:rsidR="00376355" w:rsidRPr="0019700B">
        <w:rPr>
          <w:rFonts w:ascii="Arial" w:hAnsi="Arial" w:cs="Arial"/>
          <w:sz w:val="20"/>
          <w:szCs w:val="20"/>
        </w:rPr>
        <w:t xml:space="preserve"> </w:t>
      </w:r>
      <w:r w:rsidR="005C6237" w:rsidRPr="0019700B">
        <w:rPr>
          <w:rFonts w:ascii="Arial" w:hAnsi="Arial" w:cs="Arial"/>
          <w:sz w:val="20"/>
          <w:szCs w:val="20"/>
        </w:rPr>
        <w:t>2. Las personales tales como creencias, percepciones, expectativas, motivaciones</w:t>
      </w:r>
      <w:r w:rsidR="00376355" w:rsidRPr="0019700B">
        <w:rPr>
          <w:rFonts w:ascii="Arial" w:hAnsi="Arial" w:cs="Arial"/>
          <w:sz w:val="20"/>
          <w:szCs w:val="20"/>
        </w:rPr>
        <w:t xml:space="preserve"> </w:t>
      </w:r>
      <w:r w:rsidR="005C6237" w:rsidRPr="0019700B">
        <w:rPr>
          <w:rFonts w:ascii="Arial" w:hAnsi="Arial" w:cs="Arial"/>
          <w:sz w:val="20"/>
          <w:szCs w:val="20"/>
        </w:rPr>
        <w:t>3.</w:t>
      </w:r>
      <w:r w:rsidR="006C4520" w:rsidRPr="0019700B">
        <w:rPr>
          <w:rFonts w:ascii="Arial" w:hAnsi="Arial" w:cs="Arial"/>
          <w:sz w:val="20"/>
          <w:szCs w:val="20"/>
        </w:rPr>
        <w:t xml:space="preserve"> </w:t>
      </w:r>
      <w:r w:rsidR="005C6237" w:rsidRPr="0019700B">
        <w:rPr>
          <w:rFonts w:ascii="Arial" w:hAnsi="Arial" w:cs="Arial"/>
          <w:sz w:val="20"/>
          <w:szCs w:val="20"/>
        </w:rPr>
        <w:t>Las consecuencias anticipadas de las conductas saludables con relación a los costos y beneficios</w:t>
      </w:r>
      <w:r w:rsidR="00376355" w:rsidRPr="0019700B">
        <w:rPr>
          <w:rFonts w:ascii="Arial" w:hAnsi="Arial" w:cs="Arial"/>
          <w:sz w:val="20"/>
          <w:szCs w:val="20"/>
        </w:rPr>
        <w:t>.</w:t>
      </w:r>
    </w:p>
    <w:p w14:paraId="6E68D6CF" w14:textId="59C50823" w:rsidR="006C4520" w:rsidRPr="0019700B" w:rsidRDefault="006C4520" w:rsidP="0019700B">
      <w:pPr>
        <w:jc w:val="both"/>
        <w:rPr>
          <w:rFonts w:ascii="Arial" w:hAnsi="Arial" w:cs="Arial"/>
          <w:color w:val="BF8F00" w:themeColor="accent4" w:themeShade="BF"/>
        </w:rPr>
      </w:pPr>
      <w:r w:rsidRPr="0019700B">
        <w:rPr>
          <w:rFonts w:ascii="Arial" w:hAnsi="Arial" w:cs="Arial"/>
          <w:color w:val="BF8F00" w:themeColor="accent4" w:themeShade="BF"/>
        </w:rPr>
        <w:t>1.5 Variables ambientales como condicionantes de la salud</w:t>
      </w:r>
    </w:p>
    <w:p w14:paraId="41AD8908" w14:textId="05586B78" w:rsidR="006C4520" w:rsidRPr="0019700B" w:rsidRDefault="006C4520" w:rsidP="0019700B">
      <w:pPr>
        <w:jc w:val="both"/>
        <w:rPr>
          <w:rFonts w:ascii="Arial" w:hAnsi="Arial" w:cs="Arial"/>
          <w:sz w:val="20"/>
          <w:szCs w:val="20"/>
        </w:rPr>
      </w:pPr>
      <w:r w:rsidRPr="0019700B">
        <w:rPr>
          <w:rFonts w:ascii="Arial" w:hAnsi="Arial" w:cs="Arial"/>
          <w:sz w:val="20"/>
          <w:szCs w:val="20"/>
        </w:rPr>
        <w:t>De acuerdo con Soler Marquez y Abad Ros (2000), el nivel de desarrollo de una sociedad determina el peso relativo de las variables ambientales en la salud de los individuos.</w:t>
      </w:r>
    </w:p>
    <w:p w14:paraId="6BCA7A0C" w14:textId="50467E19" w:rsidR="006C4520" w:rsidRPr="0019700B" w:rsidRDefault="006C4520" w:rsidP="0019700B">
      <w:pPr>
        <w:jc w:val="both"/>
        <w:rPr>
          <w:rFonts w:ascii="Arial" w:hAnsi="Arial" w:cs="Arial"/>
          <w:color w:val="00B0F0"/>
        </w:rPr>
      </w:pPr>
      <w:r w:rsidRPr="0019700B">
        <w:rPr>
          <w:rFonts w:ascii="Arial" w:hAnsi="Arial" w:cs="Arial"/>
          <w:color w:val="00B0F0"/>
        </w:rPr>
        <w:t>1.6 Importancia de la psicología en la salud</w:t>
      </w:r>
    </w:p>
    <w:p w14:paraId="6EA02272" w14:textId="10938C6E" w:rsidR="006C4520" w:rsidRPr="0019700B" w:rsidRDefault="00B7624B" w:rsidP="001970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6C4520" w:rsidRPr="0019700B">
        <w:rPr>
          <w:rFonts w:ascii="Arial" w:hAnsi="Arial" w:cs="Arial"/>
          <w:sz w:val="20"/>
          <w:szCs w:val="20"/>
        </w:rPr>
        <w:t xml:space="preserve">e centra en valorar la enfermedad, y qué procesos la engloban para que se produzca. se interesa por el comportamiento, actitud y procesos que pueden estar ocurriendo en un individuo de tal forma que afecten a su salud. </w:t>
      </w:r>
    </w:p>
    <w:p w14:paraId="7A5D17AD" w14:textId="004B8436" w:rsidR="006C4520" w:rsidRPr="0019700B" w:rsidRDefault="006C4520" w:rsidP="0019700B">
      <w:pPr>
        <w:jc w:val="both"/>
        <w:rPr>
          <w:rFonts w:ascii="Arial" w:hAnsi="Arial" w:cs="Arial"/>
          <w:color w:val="C00000"/>
        </w:rPr>
      </w:pPr>
      <w:r w:rsidRPr="0019700B">
        <w:rPr>
          <w:rFonts w:ascii="Arial" w:hAnsi="Arial" w:cs="Arial"/>
          <w:color w:val="C00000"/>
        </w:rPr>
        <w:t>1.7 Comportamiento y Salud</w:t>
      </w:r>
    </w:p>
    <w:p w14:paraId="288CB052" w14:textId="2822B49B" w:rsidR="006C4520" w:rsidRPr="0019700B" w:rsidRDefault="006C4520" w:rsidP="0019700B">
      <w:pPr>
        <w:jc w:val="both"/>
        <w:rPr>
          <w:rFonts w:ascii="Arial" w:hAnsi="Arial" w:cs="Arial"/>
          <w:sz w:val="20"/>
          <w:szCs w:val="20"/>
        </w:rPr>
      </w:pPr>
      <w:r w:rsidRPr="0019700B">
        <w:rPr>
          <w:rFonts w:ascii="Arial" w:hAnsi="Arial" w:cs="Arial"/>
          <w:sz w:val="20"/>
          <w:szCs w:val="20"/>
        </w:rPr>
        <w:t>Los datos epidemiológicos predicen que un alto porcentaje de individuos padecerán a lo largo de su vida algún tipo de cáncer, una determinada infección o cierto trastorno mental (Jenicke y Cleroux, 1990). aunque sólo algunas de ellas llegan a desarrollar cáncer de pulmón.</w:t>
      </w:r>
    </w:p>
    <w:p w14:paraId="567762B8" w14:textId="051DD036" w:rsidR="006C4520" w:rsidRPr="0019700B" w:rsidRDefault="006C4520" w:rsidP="0019700B">
      <w:pPr>
        <w:jc w:val="both"/>
        <w:rPr>
          <w:rFonts w:ascii="Arial" w:hAnsi="Arial" w:cs="Arial"/>
          <w:color w:val="FF0000"/>
        </w:rPr>
      </w:pPr>
      <w:r w:rsidRPr="0019700B">
        <w:rPr>
          <w:rFonts w:ascii="Arial" w:hAnsi="Arial" w:cs="Arial"/>
          <w:color w:val="FF0000"/>
        </w:rPr>
        <w:t>1.8 Estilos de vida</w:t>
      </w:r>
    </w:p>
    <w:p w14:paraId="63C961E9" w14:textId="1A4C6311" w:rsidR="006C4520" w:rsidRPr="0019700B" w:rsidRDefault="00376355" w:rsidP="0019700B">
      <w:pPr>
        <w:jc w:val="both"/>
        <w:rPr>
          <w:rFonts w:ascii="Arial" w:hAnsi="Arial" w:cs="Arial"/>
          <w:sz w:val="20"/>
          <w:szCs w:val="20"/>
        </w:rPr>
      </w:pPr>
      <w:r w:rsidRPr="0019700B">
        <w:rPr>
          <w:rFonts w:ascii="Arial" w:hAnsi="Arial" w:cs="Arial"/>
          <w:sz w:val="20"/>
          <w:szCs w:val="20"/>
        </w:rPr>
        <w:t xml:space="preserve">Una pequeña definición es “una forma de vivir o la manera en la que la gente se conduce con sus actividades día a día”. </w:t>
      </w:r>
    </w:p>
    <w:p w14:paraId="3072DFF5" w14:textId="6699B8A3" w:rsidR="005626A1" w:rsidRPr="0019700B" w:rsidRDefault="005626A1" w:rsidP="0019700B">
      <w:pPr>
        <w:jc w:val="both"/>
        <w:rPr>
          <w:rFonts w:ascii="Arial" w:hAnsi="Arial" w:cs="Arial"/>
          <w:color w:val="CC00FF"/>
        </w:rPr>
      </w:pPr>
      <w:r w:rsidRPr="0019700B">
        <w:rPr>
          <w:rFonts w:ascii="Arial" w:hAnsi="Arial" w:cs="Arial"/>
          <w:color w:val="CC00FF"/>
        </w:rPr>
        <w:t>1.9 Modelos de relación entre personalidad y salud</w:t>
      </w:r>
    </w:p>
    <w:p w14:paraId="3E3080EE" w14:textId="11BFEF9A" w:rsidR="006C4520" w:rsidRPr="0019700B" w:rsidRDefault="005626A1" w:rsidP="0019700B">
      <w:pPr>
        <w:jc w:val="both"/>
        <w:rPr>
          <w:rFonts w:ascii="Arial" w:hAnsi="Arial" w:cs="Arial"/>
          <w:sz w:val="20"/>
          <w:szCs w:val="20"/>
        </w:rPr>
      </w:pPr>
      <w:r w:rsidRPr="0019700B">
        <w:rPr>
          <w:rFonts w:ascii="Arial" w:hAnsi="Arial" w:cs="Arial"/>
          <w:sz w:val="20"/>
          <w:szCs w:val="20"/>
        </w:rPr>
        <w:t>Existen varios modelos explicativos que intentan dar cuenta de las relaciones entre la conducta y salud de los individuos. Dichos modelos son el de creencias sobre la salud (Janz y Becker, 1984</w:t>
      </w:r>
      <w:r w:rsidR="00376355" w:rsidRPr="0019700B">
        <w:rPr>
          <w:rFonts w:ascii="Arial" w:hAnsi="Arial" w:cs="Arial"/>
          <w:sz w:val="20"/>
          <w:szCs w:val="20"/>
        </w:rPr>
        <w:t>).</w:t>
      </w:r>
    </w:p>
    <w:p w14:paraId="3DC0111F" w14:textId="1AB0C103" w:rsidR="005626A1" w:rsidRPr="0019700B" w:rsidRDefault="005626A1" w:rsidP="0019700B">
      <w:pPr>
        <w:jc w:val="both"/>
        <w:rPr>
          <w:rFonts w:ascii="Arial" w:hAnsi="Arial" w:cs="Arial"/>
          <w:color w:val="3366FF"/>
        </w:rPr>
      </w:pPr>
      <w:r w:rsidRPr="0019700B">
        <w:rPr>
          <w:rFonts w:ascii="Arial" w:hAnsi="Arial" w:cs="Arial"/>
          <w:color w:val="3366FF"/>
        </w:rPr>
        <w:t>1.10 Factores emocionales</w:t>
      </w:r>
    </w:p>
    <w:p w14:paraId="502743B0" w14:textId="302B9642" w:rsidR="006C4520" w:rsidRPr="0019700B" w:rsidRDefault="00B7624B" w:rsidP="001970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5626A1" w:rsidRPr="0019700B">
        <w:rPr>
          <w:rFonts w:ascii="Arial" w:hAnsi="Arial" w:cs="Arial"/>
          <w:sz w:val="20"/>
          <w:szCs w:val="20"/>
        </w:rPr>
        <w:t xml:space="preserve">eacciones psicofisiológicas que todos experimentamos a </w:t>
      </w:r>
      <w:r w:rsidR="00376355" w:rsidRPr="0019700B">
        <w:rPr>
          <w:rFonts w:ascii="Arial" w:hAnsi="Arial" w:cs="Arial"/>
          <w:sz w:val="20"/>
          <w:szCs w:val="20"/>
        </w:rPr>
        <w:t>diario,</w:t>
      </w:r>
      <w:r w:rsidR="005626A1" w:rsidRPr="0019700B">
        <w:rPr>
          <w:rFonts w:ascii="Arial" w:hAnsi="Arial" w:cs="Arial"/>
          <w:sz w:val="20"/>
          <w:szCs w:val="20"/>
        </w:rPr>
        <w:t xml:space="preserve"> aunque no siempre seamos conscientes de ello. Son de carácter universal, bastante independientes de la cultura y generan cambios en la experiencia afectiva, en la activación fisiológica y en la conducta expresiva.</w:t>
      </w:r>
    </w:p>
    <w:p w14:paraId="69F86902" w14:textId="5AE32D45" w:rsidR="005626A1" w:rsidRPr="0019700B" w:rsidRDefault="005626A1" w:rsidP="0019700B">
      <w:pPr>
        <w:jc w:val="both"/>
        <w:rPr>
          <w:rFonts w:ascii="Arial" w:hAnsi="Arial" w:cs="Arial"/>
        </w:rPr>
      </w:pPr>
      <w:r w:rsidRPr="0019700B">
        <w:rPr>
          <w:rFonts w:ascii="Arial" w:hAnsi="Arial" w:cs="Arial"/>
          <w:color w:val="806000" w:themeColor="accent4" w:themeShade="80"/>
        </w:rPr>
        <w:t>1.11 El cambio de hábitos de salud</w:t>
      </w:r>
    </w:p>
    <w:p w14:paraId="585B719D" w14:textId="041DAB92" w:rsidR="005626A1" w:rsidRPr="0019700B" w:rsidRDefault="005626A1" w:rsidP="0019700B">
      <w:pPr>
        <w:jc w:val="both"/>
        <w:rPr>
          <w:rFonts w:ascii="Arial" w:hAnsi="Arial" w:cs="Arial"/>
          <w:sz w:val="20"/>
          <w:szCs w:val="20"/>
        </w:rPr>
      </w:pPr>
      <w:r w:rsidRPr="0019700B">
        <w:rPr>
          <w:rFonts w:ascii="Arial" w:hAnsi="Arial" w:cs="Arial"/>
          <w:sz w:val="20"/>
          <w:szCs w:val="20"/>
        </w:rPr>
        <w:t>El cambio de hábitos riesgosos debe ser percibido como un proceso de autorregulación que puede ser dividido en varios estadios (Prochaska y Di Clemente, 1992), en el cual, lograda una fuerte intención de cambiar, la fase de motivación ha concluido</w:t>
      </w:r>
      <w:r w:rsidR="00376355" w:rsidRPr="0019700B">
        <w:rPr>
          <w:rFonts w:ascii="Arial" w:hAnsi="Arial" w:cs="Arial"/>
          <w:sz w:val="20"/>
          <w:szCs w:val="20"/>
        </w:rPr>
        <w:t>.</w:t>
      </w:r>
    </w:p>
    <w:p w14:paraId="6B218ECE" w14:textId="77777777" w:rsidR="00D80118" w:rsidRPr="0019700B" w:rsidRDefault="00D80118" w:rsidP="0019700B">
      <w:pPr>
        <w:jc w:val="both"/>
        <w:rPr>
          <w:rFonts w:ascii="Arial" w:hAnsi="Arial" w:cs="Arial"/>
          <w:color w:val="00B050"/>
        </w:rPr>
      </w:pPr>
      <w:r w:rsidRPr="0019700B">
        <w:rPr>
          <w:rFonts w:ascii="Arial" w:hAnsi="Arial" w:cs="Arial"/>
          <w:color w:val="00B050"/>
        </w:rPr>
        <w:t>1.12 Enfoques cognitivo-conductuales de los cambios de conducta de la salud</w:t>
      </w:r>
    </w:p>
    <w:p w14:paraId="4896F9CB" w14:textId="655CDC7E" w:rsidR="006C4520" w:rsidRPr="0019700B" w:rsidRDefault="00D80118" w:rsidP="0019700B">
      <w:pPr>
        <w:jc w:val="both"/>
        <w:rPr>
          <w:rFonts w:ascii="Arial" w:hAnsi="Arial" w:cs="Arial"/>
          <w:sz w:val="20"/>
          <w:szCs w:val="20"/>
        </w:rPr>
      </w:pPr>
      <w:r w:rsidRPr="0019700B">
        <w:rPr>
          <w:rFonts w:ascii="Arial" w:hAnsi="Arial" w:cs="Arial"/>
          <w:sz w:val="20"/>
          <w:szCs w:val="20"/>
        </w:rPr>
        <w:t>En el ámbito de la psicología de la salud se han propuesto distintos modelos cognitivo-conductuales para explicar el comportamiento de salud de las personas, que tienen su origen en las teorías conductuales, y que parten del supuesto de que las personas son agentes que activamente procesan información</w:t>
      </w:r>
      <w:r w:rsidR="00376355" w:rsidRPr="0019700B">
        <w:rPr>
          <w:rFonts w:ascii="Arial" w:hAnsi="Arial" w:cs="Arial"/>
          <w:sz w:val="20"/>
          <w:szCs w:val="20"/>
        </w:rPr>
        <w:t>.</w:t>
      </w:r>
    </w:p>
    <w:p w14:paraId="1F447784" w14:textId="77777777" w:rsidR="006C4520" w:rsidRDefault="006C4520" w:rsidP="005C6237"/>
    <w:sectPr w:rsidR="006C4520" w:rsidSect="00D8011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9D"/>
    <w:rsid w:val="001533A0"/>
    <w:rsid w:val="0019700B"/>
    <w:rsid w:val="0020459D"/>
    <w:rsid w:val="00315F12"/>
    <w:rsid w:val="00376355"/>
    <w:rsid w:val="005626A1"/>
    <w:rsid w:val="005C6237"/>
    <w:rsid w:val="006C4520"/>
    <w:rsid w:val="00723022"/>
    <w:rsid w:val="00B7624B"/>
    <w:rsid w:val="00BA1A15"/>
    <w:rsid w:val="00D80118"/>
    <w:rsid w:val="00E57F0D"/>
    <w:rsid w:val="00EA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67E98"/>
  <w15:chartTrackingRefBased/>
  <w15:docId w15:val="{6C86A108-3C87-4A6B-B9F7-9F38AAEE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BE5ED-5DAE-44AB-AD59-EAFBD0C7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 PINT</dc:creator>
  <cp:keywords/>
  <dc:description/>
  <cp:lastModifiedBy>JHONATAN PINT</cp:lastModifiedBy>
  <cp:revision>6</cp:revision>
  <dcterms:created xsi:type="dcterms:W3CDTF">2022-09-24T14:16:00Z</dcterms:created>
  <dcterms:modified xsi:type="dcterms:W3CDTF">2022-09-25T00:11:00Z</dcterms:modified>
</cp:coreProperties>
</file>