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983E4" w14:textId="1B84801E" w:rsidR="00994E4F" w:rsidRDefault="00994E4F" w:rsidP="00994E4F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UDS</w:t>
      </w:r>
    </w:p>
    <w:p w14:paraId="688E9C86" w14:textId="2C687768" w:rsidR="00994E4F" w:rsidRDefault="006E6823" w:rsidP="00994E4F">
      <w:pPr>
        <w:jc w:val="center"/>
        <w:rPr>
          <w:rFonts w:ascii="Arial" w:hAnsi="Arial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671EEBE" wp14:editId="0C64F92B">
            <wp:simplePos x="0" y="0"/>
            <wp:positionH relativeFrom="column">
              <wp:posOffset>104088</wp:posOffset>
            </wp:positionH>
            <wp:positionV relativeFrom="paragraph">
              <wp:posOffset>170576</wp:posOffset>
            </wp:positionV>
            <wp:extent cx="5201285" cy="4871519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2392" cy="487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30AAC0" w14:textId="058F5896" w:rsidR="00994E4F" w:rsidRDefault="00994E4F" w:rsidP="00994E4F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Universidad del sureste</w:t>
      </w:r>
    </w:p>
    <w:p w14:paraId="674635ED" w14:textId="520F77EA" w:rsidR="00994E4F" w:rsidRDefault="00994E4F" w:rsidP="00994E4F">
      <w:pPr>
        <w:jc w:val="center"/>
        <w:rPr>
          <w:rFonts w:ascii="Arial" w:hAnsi="Arial" w:cs="Arial"/>
          <w:sz w:val="32"/>
          <w:szCs w:val="32"/>
        </w:rPr>
      </w:pPr>
    </w:p>
    <w:p w14:paraId="228E8F4E" w14:textId="4533B7EB" w:rsidR="00994E4F" w:rsidRDefault="00994E4F" w:rsidP="00994E4F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Dra., Mónica Rendon Gordillo</w:t>
      </w:r>
    </w:p>
    <w:p w14:paraId="2CA0EC25" w14:textId="753925B5" w:rsidR="00994E4F" w:rsidRDefault="00994E4F" w:rsidP="00994E4F">
      <w:pPr>
        <w:jc w:val="center"/>
        <w:rPr>
          <w:rFonts w:ascii="Arial" w:hAnsi="Arial" w:cs="Arial"/>
          <w:sz w:val="32"/>
          <w:szCs w:val="32"/>
        </w:rPr>
      </w:pPr>
    </w:p>
    <w:p w14:paraId="176263F4" w14:textId="3388FC7C" w:rsidR="00994E4F" w:rsidRDefault="00994E4F" w:rsidP="00994E4F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Alumno: Carlos Mario Pérez López</w:t>
      </w:r>
      <w:r w:rsidR="006E6823" w:rsidRPr="006E6823">
        <w:t xml:space="preserve"> </w:t>
      </w:r>
    </w:p>
    <w:p w14:paraId="067F9107" w14:textId="66EB7602" w:rsidR="00994E4F" w:rsidRDefault="00994E4F" w:rsidP="00994E4F">
      <w:pPr>
        <w:jc w:val="center"/>
        <w:rPr>
          <w:rFonts w:ascii="Arial" w:hAnsi="Arial" w:cs="Arial"/>
          <w:sz w:val="32"/>
          <w:szCs w:val="32"/>
        </w:rPr>
      </w:pPr>
    </w:p>
    <w:p w14:paraId="721B1AF7" w14:textId="2C171629" w:rsidR="00994E4F" w:rsidRDefault="00994E4F" w:rsidP="00994E4F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Actividad: Cuadro descriptivo del VIH</w:t>
      </w:r>
    </w:p>
    <w:p w14:paraId="4AAFB5B8" w14:textId="51DB2C7C" w:rsidR="00994E4F" w:rsidRDefault="00994E4F" w:rsidP="00994E4F">
      <w:pPr>
        <w:jc w:val="center"/>
        <w:rPr>
          <w:rFonts w:ascii="Arial" w:hAnsi="Arial" w:cs="Arial"/>
          <w:sz w:val="32"/>
          <w:szCs w:val="32"/>
        </w:rPr>
      </w:pPr>
    </w:p>
    <w:p w14:paraId="60466650" w14:textId="0CB9E68F" w:rsidR="00994E4F" w:rsidRDefault="00994E4F" w:rsidP="00994E4F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Semestre: 1</w:t>
      </w:r>
    </w:p>
    <w:p w14:paraId="2DE0A89C" w14:textId="1EB1254B" w:rsidR="00994E4F" w:rsidRDefault="00994E4F" w:rsidP="00994E4F">
      <w:pPr>
        <w:jc w:val="center"/>
        <w:rPr>
          <w:rFonts w:ascii="Arial" w:hAnsi="Arial" w:cs="Arial"/>
          <w:sz w:val="32"/>
          <w:szCs w:val="32"/>
        </w:rPr>
      </w:pPr>
    </w:p>
    <w:p w14:paraId="0CF05FB4" w14:textId="52CEB040" w:rsidR="00994E4F" w:rsidRDefault="00994E4F" w:rsidP="00994E4F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Parcial: 3</w:t>
      </w:r>
    </w:p>
    <w:p w14:paraId="0250B132" w14:textId="6CAA8D79" w:rsidR="00994E4F" w:rsidRDefault="00994E4F" w:rsidP="00994E4F">
      <w:pPr>
        <w:jc w:val="center"/>
        <w:rPr>
          <w:rFonts w:ascii="Arial" w:hAnsi="Arial" w:cs="Arial"/>
          <w:sz w:val="32"/>
          <w:szCs w:val="32"/>
        </w:rPr>
      </w:pPr>
    </w:p>
    <w:p w14:paraId="660251A5" w14:textId="5E4C58D8" w:rsidR="00994E4F" w:rsidRDefault="00994E4F" w:rsidP="00994E4F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Fecha de entrega: 18/11/2022</w:t>
      </w:r>
    </w:p>
    <w:p w14:paraId="31F94F41" w14:textId="446242F6" w:rsidR="00994E4F" w:rsidRDefault="00994E4F" w:rsidP="00994E4F">
      <w:pPr>
        <w:jc w:val="center"/>
        <w:rPr>
          <w:rFonts w:ascii="Arial" w:hAnsi="Arial" w:cs="Arial"/>
          <w:sz w:val="32"/>
          <w:szCs w:val="32"/>
        </w:rPr>
      </w:pPr>
    </w:p>
    <w:p w14:paraId="08AFA2C0" w14:textId="550348E2" w:rsidR="00994E4F" w:rsidRDefault="00994E4F" w:rsidP="00994E4F">
      <w:pPr>
        <w:jc w:val="center"/>
        <w:rPr>
          <w:rFonts w:ascii="Arial" w:hAnsi="Arial" w:cs="Arial"/>
          <w:sz w:val="32"/>
          <w:szCs w:val="32"/>
        </w:rPr>
      </w:pPr>
    </w:p>
    <w:p w14:paraId="7A0FFB96" w14:textId="5233A280" w:rsidR="00994E4F" w:rsidRDefault="00994E4F" w:rsidP="00994E4F">
      <w:pPr>
        <w:jc w:val="center"/>
        <w:rPr>
          <w:rFonts w:ascii="Arial" w:hAnsi="Arial" w:cs="Arial"/>
          <w:sz w:val="32"/>
          <w:szCs w:val="32"/>
        </w:rPr>
      </w:pPr>
    </w:p>
    <w:p w14:paraId="21EDEFD4" w14:textId="40165E00" w:rsidR="00994E4F" w:rsidRDefault="00994E4F" w:rsidP="00994E4F">
      <w:pPr>
        <w:jc w:val="center"/>
        <w:rPr>
          <w:rFonts w:ascii="Arial" w:hAnsi="Arial" w:cs="Arial"/>
          <w:sz w:val="32"/>
          <w:szCs w:val="32"/>
        </w:rPr>
      </w:pPr>
    </w:p>
    <w:p w14:paraId="3520F281" w14:textId="4C0403CC" w:rsidR="00994E4F" w:rsidRDefault="00994E4F" w:rsidP="00994E4F">
      <w:pPr>
        <w:jc w:val="center"/>
        <w:rPr>
          <w:rFonts w:ascii="Arial" w:hAnsi="Arial" w:cs="Arial"/>
          <w:sz w:val="32"/>
          <w:szCs w:val="32"/>
        </w:rPr>
      </w:pPr>
    </w:p>
    <w:p w14:paraId="51128725" w14:textId="4ED76EB5" w:rsidR="00994E4F" w:rsidRDefault="00994E4F" w:rsidP="00994E4F">
      <w:pPr>
        <w:jc w:val="center"/>
        <w:rPr>
          <w:rFonts w:ascii="Arial" w:hAnsi="Arial" w:cs="Arial"/>
          <w:sz w:val="32"/>
          <w:szCs w:val="32"/>
        </w:rPr>
      </w:pPr>
    </w:p>
    <w:p w14:paraId="39BEEE8B" w14:textId="6CD22DB3" w:rsidR="00994E4F" w:rsidRDefault="00994E4F" w:rsidP="00994E4F">
      <w:pPr>
        <w:jc w:val="center"/>
        <w:rPr>
          <w:rFonts w:ascii="Arial" w:hAnsi="Arial" w:cs="Arial"/>
          <w:sz w:val="32"/>
          <w:szCs w:val="32"/>
        </w:rPr>
      </w:pPr>
    </w:p>
    <w:p w14:paraId="563018BF" w14:textId="0E3246CF" w:rsidR="00994E4F" w:rsidRDefault="00994E4F" w:rsidP="00994E4F">
      <w:pPr>
        <w:jc w:val="center"/>
        <w:rPr>
          <w:rFonts w:ascii="Arial" w:hAnsi="Arial" w:cs="Arial"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994E4F" w14:paraId="5CFDB9D2" w14:textId="77777777" w:rsidTr="00994E4F">
        <w:tc>
          <w:tcPr>
            <w:tcW w:w="2942" w:type="dxa"/>
          </w:tcPr>
          <w:p w14:paraId="20779FEE" w14:textId="0BEDA572" w:rsidR="00994E4F" w:rsidRPr="00994E4F" w:rsidRDefault="00994E4F" w:rsidP="00994E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 xml:space="preserve">Nombre de la fase </w:t>
            </w:r>
          </w:p>
        </w:tc>
        <w:tc>
          <w:tcPr>
            <w:tcW w:w="2943" w:type="dxa"/>
          </w:tcPr>
          <w:p w14:paraId="283F3685" w14:textId="0BDD08D3" w:rsidR="00994E4F" w:rsidRDefault="00994E4F" w:rsidP="00994E4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¿Qué sucede? </w:t>
            </w:r>
          </w:p>
        </w:tc>
        <w:tc>
          <w:tcPr>
            <w:tcW w:w="2943" w:type="dxa"/>
          </w:tcPr>
          <w:p w14:paraId="1C1B439E" w14:textId="35E2D307" w:rsidR="00994E4F" w:rsidRDefault="00994E4F" w:rsidP="00994E4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Medicamentos que intervienen </w:t>
            </w:r>
          </w:p>
        </w:tc>
      </w:tr>
      <w:tr w:rsidR="00994E4F" w14:paraId="38C86C51" w14:textId="77777777" w:rsidTr="00994E4F">
        <w:tc>
          <w:tcPr>
            <w:tcW w:w="2942" w:type="dxa"/>
          </w:tcPr>
          <w:p w14:paraId="0CCE9AB0" w14:textId="3658B1AD" w:rsidR="00994E4F" w:rsidRPr="00994E4F" w:rsidRDefault="00994E4F" w:rsidP="00994E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94E4F">
              <w:rPr>
                <w:rFonts w:ascii="Arial" w:hAnsi="Arial" w:cs="Arial"/>
                <w:sz w:val="28"/>
                <w:szCs w:val="28"/>
              </w:rPr>
              <w:t xml:space="preserve">Infección aguda por el VIH </w:t>
            </w:r>
          </w:p>
        </w:tc>
        <w:tc>
          <w:tcPr>
            <w:tcW w:w="2943" w:type="dxa"/>
          </w:tcPr>
          <w:p w14:paraId="6D110CE7" w14:textId="72A8EBFC" w:rsidR="00994E4F" w:rsidRDefault="00994E4F" w:rsidP="00994E4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Es la etapa mas temprana de la infección y por lo general se manifiesta entre la segunda y cuarta semana los síntomas son similares a los de la influenza (gripe) </w:t>
            </w:r>
          </w:p>
        </w:tc>
        <w:tc>
          <w:tcPr>
            <w:tcW w:w="2943" w:type="dxa"/>
          </w:tcPr>
          <w:p w14:paraId="4228F83F" w14:textId="28884B90" w:rsidR="00994E4F" w:rsidRDefault="00356953" w:rsidP="00994E4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Tenofovir, Disoproxil, </w:t>
            </w:r>
            <w:r w:rsidR="006E6823">
              <w:rPr>
                <w:rFonts w:ascii="Arial" w:hAnsi="Arial" w:cs="Arial"/>
                <w:sz w:val="32"/>
                <w:szCs w:val="32"/>
              </w:rPr>
              <w:t xml:space="preserve">fumarato, Truvada </w:t>
            </w:r>
          </w:p>
        </w:tc>
      </w:tr>
      <w:tr w:rsidR="00994E4F" w14:paraId="10544DA8" w14:textId="77777777" w:rsidTr="00994E4F">
        <w:tc>
          <w:tcPr>
            <w:tcW w:w="2942" w:type="dxa"/>
          </w:tcPr>
          <w:p w14:paraId="7BF03AAF" w14:textId="1FF1555A" w:rsidR="00994E4F" w:rsidRDefault="00994E4F" w:rsidP="00994E4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Infección crónica del VIH</w:t>
            </w:r>
          </w:p>
        </w:tc>
        <w:tc>
          <w:tcPr>
            <w:tcW w:w="2943" w:type="dxa"/>
          </w:tcPr>
          <w:p w14:paraId="4A0854EB" w14:textId="43049266" w:rsidR="00994E4F" w:rsidRDefault="00356953" w:rsidP="00994E4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Ataca y debilita el sistema inmunitario a medida de esto el paciente se debilita </w:t>
            </w:r>
          </w:p>
        </w:tc>
        <w:tc>
          <w:tcPr>
            <w:tcW w:w="2943" w:type="dxa"/>
          </w:tcPr>
          <w:p w14:paraId="3CAE9343" w14:textId="49ED369E" w:rsidR="00994E4F" w:rsidRDefault="00356953" w:rsidP="00994E4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Tratamiento antirretroviral, Estavudina, tenofovir, Viread, Bictagravir </w:t>
            </w:r>
          </w:p>
        </w:tc>
      </w:tr>
      <w:tr w:rsidR="00994E4F" w14:paraId="06E0F46F" w14:textId="77777777" w:rsidTr="00994E4F">
        <w:tc>
          <w:tcPr>
            <w:tcW w:w="2942" w:type="dxa"/>
          </w:tcPr>
          <w:p w14:paraId="0D33D11E" w14:textId="75668550" w:rsidR="00994E4F" w:rsidRDefault="00994E4F" w:rsidP="00994E4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Fase tardía </w:t>
            </w:r>
          </w:p>
        </w:tc>
        <w:tc>
          <w:tcPr>
            <w:tcW w:w="2943" w:type="dxa"/>
          </w:tcPr>
          <w:p w14:paraId="17EA3063" w14:textId="1BE594A1" w:rsidR="00994E4F" w:rsidRDefault="00356953" w:rsidP="00994E4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Esta se da cuando el cuerpo se encuentra débil y el sistema inmunitario se daña cada vez mas </w:t>
            </w:r>
          </w:p>
        </w:tc>
        <w:tc>
          <w:tcPr>
            <w:tcW w:w="2943" w:type="dxa"/>
          </w:tcPr>
          <w:p w14:paraId="0E4EFA31" w14:textId="6F81557E" w:rsidR="00994E4F" w:rsidRDefault="006E6823" w:rsidP="00994E4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Fumarato, Estavudina, Viread, Disoproxil</w:t>
            </w:r>
          </w:p>
        </w:tc>
      </w:tr>
      <w:tr w:rsidR="00994E4F" w14:paraId="2B7A3B6D" w14:textId="77777777" w:rsidTr="00994E4F">
        <w:tc>
          <w:tcPr>
            <w:tcW w:w="2942" w:type="dxa"/>
          </w:tcPr>
          <w:p w14:paraId="7F0DF680" w14:textId="18D362BD" w:rsidR="00994E4F" w:rsidRDefault="00994E4F" w:rsidP="00994E4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Sida </w:t>
            </w:r>
          </w:p>
        </w:tc>
        <w:tc>
          <w:tcPr>
            <w:tcW w:w="2943" w:type="dxa"/>
          </w:tcPr>
          <w:p w14:paraId="55B684D5" w14:textId="55FBD53E" w:rsidR="00994E4F" w:rsidRDefault="00356953" w:rsidP="00994E4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Pueden aparecer síntomas como fiebre dolor de garganta y fatiga o en ocasiones la enfermedad suele ser asintomática y se da la perdida de peso. </w:t>
            </w:r>
          </w:p>
        </w:tc>
        <w:tc>
          <w:tcPr>
            <w:tcW w:w="2943" w:type="dxa"/>
          </w:tcPr>
          <w:p w14:paraId="5612D4CA" w14:textId="0A816BF3" w:rsidR="00994E4F" w:rsidRDefault="00356953" w:rsidP="00994E4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No existe tratamiento como 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>tal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 xml:space="preserve"> pero se usa antirretrovirales, </w:t>
            </w:r>
            <w:r>
              <w:rPr>
                <w:rFonts w:ascii="Arial" w:hAnsi="Arial" w:cs="Arial"/>
                <w:sz w:val="32"/>
                <w:szCs w:val="32"/>
              </w:rPr>
              <w:t>tenofovir, Viread, Bictagravir</w:t>
            </w:r>
          </w:p>
        </w:tc>
      </w:tr>
    </w:tbl>
    <w:p w14:paraId="39D32A7F" w14:textId="77777777" w:rsidR="00994E4F" w:rsidRPr="00994E4F" w:rsidRDefault="00994E4F" w:rsidP="00994E4F">
      <w:pPr>
        <w:jc w:val="center"/>
        <w:rPr>
          <w:rFonts w:ascii="Arial" w:hAnsi="Arial" w:cs="Arial"/>
          <w:sz w:val="32"/>
          <w:szCs w:val="32"/>
        </w:rPr>
      </w:pPr>
    </w:p>
    <w:sectPr w:rsidR="00994E4F" w:rsidRPr="00994E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E4F"/>
    <w:rsid w:val="00356953"/>
    <w:rsid w:val="006E6823"/>
    <w:rsid w:val="00994E4F"/>
    <w:rsid w:val="00FB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DA1A8"/>
  <w15:chartTrackingRefBased/>
  <w15:docId w15:val="{992A0936-7B69-4691-AC8B-1B580183B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94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E682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82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82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E682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E68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1</cp:revision>
  <dcterms:created xsi:type="dcterms:W3CDTF">2022-11-18T18:08:00Z</dcterms:created>
  <dcterms:modified xsi:type="dcterms:W3CDTF">2022-11-18T18:31:00Z</dcterms:modified>
</cp:coreProperties>
</file>