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2F61" w14:textId="77777777" w:rsidR="001D7414" w:rsidRDefault="001D7414" w:rsidP="001D7414">
      <w:pPr>
        <w:spacing w:after="0"/>
        <w:ind w:left="16"/>
      </w:pPr>
      <w:r>
        <w:rPr>
          <w:rFonts w:ascii="Calibri" w:eastAsia="Calibri" w:hAnsi="Calibri" w:cs="Calibri"/>
          <w:sz w:val="56"/>
        </w:rPr>
        <w:t xml:space="preserve"> </w:t>
      </w:r>
      <w:r>
        <w:t xml:space="preserve"> </w:t>
      </w:r>
    </w:p>
    <w:p w14:paraId="7FCD82E3" w14:textId="77777777" w:rsidR="001D7414" w:rsidRDefault="001D7414" w:rsidP="001D7414">
      <w:pPr>
        <w:spacing w:after="367"/>
        <w:ind w:left="-573"/>
      </w:pPr>
      <w:r>
        <w:rPr>
          <w:noProof/>
        </w:rPr>
        <w:drawing>
          <wp:inline distT="0" distB="0" distL="0" distR="0" wp14:anchorId="31E47C36" wp14:editId="257DE5EE">
            <wp:extent cx="2717800" cy="101346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A2338D4" w14:textId="77777777" w:rsidR="001D7414" w:rsidRDefault="001D7414" w:rsidP="001D7414">
      <w:pPr>
        <w:spacing w:after="0"/>
        <w:ind w:left="7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Nombre del alumno: Felipe Alejandro Machin Trejo. </w:t>
      </w:r>
      <w:r>
        <w:t xml:space="preserve"> </w:t>
      </w:r>
    </w:p>
    <w:p w14:paraId="0447C1F6" w14:textId="77777777" w:rsidR="001D7414" w:rsidRDefault="001D7414" w:rsidP="001D7414">
      <w:pPr>
        <w:spacing w:after="70"/>
        <w:ind w:left="16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t xml:space="preserve"> </w:t>
      </w:r>
    </w:p>
    <w:p w14:paraId="4FE89C89" w14:textId="77777777" w:rsidR="001D7414" w:rsidRDefault="001D7414" w:rsidP="001D7414">
      <w:pPr>
        <w:spacing w:after="0"/>
        <w:ind w:left="7"/>
        <w:rPr>
          <w:rFonts w:ascii="Century Gothic" w:eastAsia="Century Gothic" w:hAnsi="Century Gothic" w:cs="Century Gothic"/>
          <w:b/>
          <w:color w:val="1F3864"/>
          <w:sz w:val="44"/>
        </w:rPr>
      </w:pPr>
    </w:p>
    <w:p w14:paraId="29CA0704" w14:textId="77777777" w:rsidR="001D7414" w:rsidRDefault="001D7414" w:rsidP="001D7414">
      <w:pPr>
        <w:spacing w:after="0"/>
        <w:ind w:left="7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Nombre del profesor: Mtro. Malaquías García </w:t>
      </w:r>
      <w:proofErr w:type="spellStart"/>
      <w:r>
        <w:rPr>
          <w:rFonts w:ascii="Century Gothic" w:eastAsia="Century Gothic" w:hAnsi="Century Gothic" w:cs="Century Gothic"/>
          <w:b/>
          <w:color w:val="1F3864"/>
          <w:sz w:val="44"/>
        </w:rPr>
        <w:t>Perez</w:t>
      </w:r>
      <w:proofErr w:type="spellEnd"/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. </w:t>
      </w:r>
      <w:r>
        <w:t xml:space="preserve"> </w:t>
      </w:r>
    </w:p>
    <w:p w14:paraId="467BF6B9" w14:textId="77777777" w:rsidR="001D7414" w:rsidRDefault="001D7414" w:rsidP="001D7414">
      <w:pPr>
        <w:spacing w:after="66"/>
        <w:ind w:left="16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t xml:space="preserve"> </w:t>
      </w:r>
    </w:p>
    <w:p w14:paraId="1CB501FB" w14:textId="77777777" w:rsidR="001D7414" w:rsidRDefault="001D7414" w:rsidP="001D7414">
      <w:pPr>
        <w:spacing w:after="0"/>
        <w:ind w:left="7"/>
        <w:rPr>
          <w:rFonts w:ascii="Century Gothic" w:eastAsia="Century Gothic" w:hAnsi="Century Gothic" w:cs="Century Gothic"/>
          <w:b/>
          <w:color w:val="1F3864"/>
          <w:sz w:val="44"/>
        </w:rPr>
      </w:pPr>
    </w:p>
    <w:p w14:paraId="6719CDCD" w14:textId="77777777" w:rsidR="001D7414" w:rsidRDefault="001D7414" w:rsidP="001D7414">
      <w:pPr>
        <w:spacing w:after="0"/>
        <w:ind w:left="7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9EAABC8" wp14:editId="6ACD0D11">
            <wp:simplePos x="0" y="0"/>
            <wp:positionH relativeFrom="column">
              <wp:posOffset>-274637</wp:posOffset>
            </wp:positionH>
            <wp:positionV relativeFrom="paragraph">
              <wp:posOffset>-663145</wp:posOffset>
            </wp:positionV>
            <wp:extent cx="5610860" cy="210058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Licenciatura: Ciencias de la Educación.  </w:t>
      </w:r>
      <w:r>
        <w:t xml:space="preserve"> </w:t>
      </w:r>
    </w:p>
    <w:p w14:paraId="63F92695" w14:textId="77777777" w:rsidR="001D7414" w:rsidRDefault="001D7414" w:rsidP="001D7414">
      <w:pPr>
        <w:spacing w:after="65"/>
        <w:ind w:left="16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t xml:space="preserve"> </w:t>
      </w:r>
    </w:p>
    <w:p w14:paraId="684A1EA8" w14:textId="77777777" w:rsidR="001D7414" w:rsidRDefault="001D7414" w:rsidP="001D7414">
      <w:pPr>
        <w:spacing w:after="0"/>
        <w:ind w:left="7"/>
        <w:rPr>
          <w:rFonts w:ascii="Century Gothic" w:eastAsia="Century Gothic" w:hAnsi="Century Gothic" w:cs="Century Gothic"/>
          <w:b/>
          <w:color w:val="1F3864"/>
          <w:sz w:val="44"/>
        </w:rPr>
      </w:pPr>
    </w:p>
    <w:p w14:paraId="7E870EE2" w14:textId="77777777" w:rsidR="001D7414" w:rsidRDefault="001D7414" w:rsidP="001D7414">
      <w:pPr>
        <w:spacing w:after="0"/>
        <w:ind w:left="7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Materia: Planeación estratégica para </w:t>
      </w:r>
    </w:p>
    <w:p w14:paraId="1E52FDF9" w14:textId="77777777" w:rsidR="001D7414" w:rsidRDefault="001D7414" w:rsidP="001D7414">
      <w:pPr>
        <w:spacing w:after="0"/>
        <w:ind w:left="7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instituciones educativas. </w:t>
      </w:r>
      <w:r>
        <w:t xml:space="preserve"> </w:t>
      </w:r>
    </w:p>
    <w:p w14:paraId="70E5F552" w14:textId="77777777" w:rsidR="001D7414" w:rsidRDefault="001D7414" w:rsidP="001D7414">
      <w:pPr>
        <w:spacing w:after="67"/>
        <w:ind w:left="16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t xml:space="preserve"> </w:t>
      </w:r>
    </w:p>
    <w:p w14:paraId="41015003" w14:textId="77777777" w:rsidR="001D7414" w:rsidRDefault="001D7414" w:rsidP="001D7414">
      <w:pPr>
        <w:spacing w:after="0"/>
        <w:ind w:left="7"/>
        <w:rPr>
          <w:rFonts w:ascii="Century Gothic" w:eastAsia="Century Gothic" w:hAnsi="Century Gothic" w:cs="Century Gothic"/>
          <w:b/>
          <w:color w:val="1F3864"/>
          <w:sz w:val="44"/>
        </w:rPr>
      </w:pPr>
    </w:p>
    <w:p w14:paraId="6A675B6E" w14:textId="63D4CB7A" w:rsidR="001D7414" w:rsidRDefault="001D7414" w:rsidP="001D7414">
      <w:pPr>
        <w:spacing w:after="0"/>
        <w:ind w:left="7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Nombre del trabajo: </w:t>
      </w:r>
      <w:r>
        <w:rPr>
          <w:rFonts w:ascii="Century Gothic" w:eastAsia="Century Gothic" w:hAnsi="Century Gothic" w:cs="Century Gothic"/>
          <w:b/>
          <w:color w:val="1F3864"/>
          <w:sz w:val="44"/>
          <w:lang w:val="es-ES"/>
        </w:rPr>
        <w:t>Segunda</w:t>
      </w: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actividad.  </w:t>
      </w:r>
      <w:r>
        <w:t xml:space="preserve"> </w:t>
      </w:r>
    </w:p>
    <w:p w14:paraId="1A2B6AB9" w14:textId="77777777" w:rsidR="001D7414" w:rsidRDefault="001D7414" w:rsidP="001D7414">
      <w:pPr>
        <w:spacing w:after="0"/>
        <w:ind w:left="16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t xml:space="preserve"> </w:t>
      </w:r>
    </w:p>
    <w:p w14:paraId="0EA9F3EE" w14:textId="77777777" w:rsidR="001D7414" w:rsidRDefault="001D7414" w:rsidP="001D7414">
      <w:pPr>
        <w:spacing w:after="0"/>
        <w:ind w:left="16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t xml:space="preserve"> </w:t>
      </w:r>
    </w:p>
    <w:p w14:paraId="28FFB832" w14:textId="77777777" w:rsidR="001D7414" w:rsidRDefault="001D7414" w:rsidP="001D7414">
      <w:pPr>
        <w:spacing w:after="194"/>
        <w:ind w:left="16"/>
      </w:pPr>
      <w:r>
        <w:rPr>
          <w:rFonts w:ascii="Century Gothic" w:eastAsia="Century Gothic" w:hAnsi="Century Gothic" w:cs="Century Gothic"/>
          <w:color w:val="1F3864"/>
        </w:rPr>
        <w:t xml:space="preserve">                                                                  </w:t>
      </w:r>
      <w:r>
        <w:t xml:space="preserve"> </w:t>
      </w:r>
    </w:p>
    <w:p w14:paraId="754A1B9F" w14:textId="77777777" w:rsidR="001D7414" w:rsidRDefault="001D7414" w:rsidP="001D7414">
      <w:pPr>
        <w:spacing w:after="153"/>
        <w:ind w:left="16"/>
        <w:rPr>
          <w:rFonts w:ascii="Century Gothic" w:eastAsia="Century Gothic" w:hAnsi="Century Gothic" w:cs="Century Gothic"/>
          <w:color w:val="1F3864"/>
        </w:rPr>
      </w:pPr>
      <w:r>
        <w:rPr>
          <w:rFonts w:ascii="Century Gothic" w:eastAsia="Century Gothic" w:hAnsi="Century Gothic" w:cs="Century Gothic"/>
          <w:color w:val="1F3864"/>
        </w:rPr>
        <w:t xml:space="preserve">                                                                   </w:t>
      </w:r>
    </w:p>
    <w:p w14:paraId="37128B36" w14:textId="77777777" w:rsidR="001D7414" w:rsidRDefault="001D7414" w:rsidP="001D7414">
      <w:pPr>
        <w:spacing w:after="153"/>
        <w:ind w:left="16"/>
        <w:rPr>
          <w:rFonts w:ascii="Century Gothic" w:eastAsia="Century Gothic" w:hAnsi="Century Gothic" w:cs="Century Gothic"/>
          <w:color w:val="1F3864"/>
        </w:rPr>
      </w:pPr>
    </w:p>
    <w:p w14:paraId="2F44EB21" w14:textId="3B5B998E" w:rsidR="001D7414" w:rsidRDefault="001D7414" w:rsidP="001D7414">
      <w:pPr>
        <w:spacing w:after="153"/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7B3737" wp14:editId="2D022481">
                <wp:simplePos x="0" y="0"/>
                <wp:positionH relativeFrom="page">
                  <wp:posOffset>9525</wp:posOffset>
                </wp:positionH>
                <wp:positionV relativeFrom="page">
                  <wp:posOffset>9404985</wp:posOffset>
                </wp:positionV>
                <wp:extent cx="7772400" cy="533400"/>
                <wp:effectExtent l="0" t="0" r="0" b="0"/>
                <wp:wrapTopAndBottom/>
                <wp:docPr id="3032" name="Group 3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33400"/>
                          <a:chOff x="0" y="0"/>
                          <a:chExt cx="7772400" cy="533400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20"/>
                            <a:ext cx="777240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99160" y="0"/>
                            <a:ext cx="43180" cy="187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899477" y="2444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5DC2" w14:textId="77777777" w:rsidR="001D7414" w:rsidRDefault="001D7414" w:rsidP="001D741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29958" y="2794"/>
                            <a:ext cx="51621" cy="20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9DF8A" w14:textId="77777777" w:rsidR="001D7414" w:rsidRDefault="001D7414" w:rsidP="001D74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B3737" id="Group 3032" o:spid="_x0000_s1026" style="position:absolute;left:0;text-align:left;margin-left:.75pt;margin-top:740.55pt;width:612pt;height:42pt;z-index:251660288;mso-position-horizontal-relative:page;mso-position-vertical-relative:page" coordsize="77724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top:584;width:77724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">
                  <v:imagedata r:id="rId8" o:title=""/>
                </v:shape>
                <v:shape id="Picture 51" o:spid="_x0000_s1028" type="#_x0000_t75" style="position:absolute;left:8991;width:432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">
                  <v:imagedata r:id="rId9" o:title=""/>
                </v:shape>
                <v:rect id="Rectangle 52" o:spid="_x0000_s1029" style="position:absolute;left:8994;top:24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B1E5DC2" w14:textId="77777777" w:rsidR="001D7414" w:rsidRDefault="001D7414" w:rsidP="001D741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0" style="position:absolute;left:9299;top:27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A09DF8A" w14:textId="77777777" w:rsidR="001D7414" w:rsidRDefault="001D7414" w:rsidP="001D7414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3864"/>
        </w:rPr>
        <w:t xml:space="preserve">Ocosingo, Chiapas a 18 de junio de 2022 </w:t>
      </w:r>
      <w:r>
        <w:t xml:space="preserve"> </w:t>
      </w:r>
    </w:p>
    <w:p w14:paraId="65FF741A" w14:textId="77777777" w:rsidR="001D7414" w:rsidRDefault="001D7414" w:rsidP="001D7414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7C449786" w14:textId="01FD1AF2" w:rsidR="000A5D3A" w:rsidRPr="001D7414" w:rsidRDefault="000A5D3A" w:rsidP="001D741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1D7414">
        <w:rPr>
          <w:rFonts w:ascii="Arial" w:hAnsi="Arial" w:cs="Arial"/>
          <w:sz w:val="28"/>
          <w:szCs w:val="28"/>
          <w:lang w:val="es-ES"/>
        </w:rPr>
        <w:t>Introducción</w:t>
      </w:r>
    </w:p>
    <w:p w14:paraId="314A2354" w14:textId="7F0C80AF" w:rsidR="000A5D3A" w:rsidRPr="001D7414" w:rsidRDefault="000A5D3A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Al referirnos a la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organización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escolar, obviamente estamos tratando la organización en el campo especifico de una institución educativa, que se refiere a un espacio especialmente estructurado y organizado, con objetivos y fines definidos que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responde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a las exigencias de la sociedad dada.</w:t>
      </w:r>
    </w:p>
    <w:p w14:paraId="599F0A0C" w14:textId="77777777" w:rsidR="000A5D3A" w:rsidRPr="001D7414" w:rsidRDefault="000A5D3A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>La sociedad actual reclama un nuevo status y exige una mayor relación institución entorno debido a la importancia de la educación y la evolución de su propio concepto hacia perspectiva de mayor colaboración y participación. Por ello la necesidad de organizar e integrar globalmente los factores del entorno con los del interno.</w:t>
      </w:r>
    </w:p>
    <w:p w14:paraId="742EB83A" w14:textId="0B27EC42" w:rsidR="008D09E7" w:rsidRPr="001D7414" w:rsidRDefault="005D22CE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La organización escolar comprende, por tanto, el análisis de realidades de educación formal y no formal siempre que en ellas haya un proceso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sistemático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de aprendizaje. La realidad institucional es mucho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mas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amplia,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desborda la consideración y ordenación de elementos materiales. Se refiere no solo </w:t>
      </w:r>
      <w:r w:rsidR="008D09E7" w:rsidRPr="001D7414">
        <w:rPr>
          <w:rFonts w:ascii="Arial" w:hAnsi="Arial" w:cs="Arial"/>
          <w:sz w:val="24"/>
          <w:szCs w:val="24"/>
          <w:lang w:val="es-ES"/>
        </w:rPr>
        <w:t xml:space="preserve">a los elementos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institucionales,</w:t>
      </w:r>
      <w:r w:rsidR="008D09E7" w:rsidRPr="001D741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D09E7" w:rsidRPr="001D7414">
        <w:rPr>
          <w:rFonts w:ascii="Arial" w:hAnsi="Arial" w:cs="Arial"/>
          <w:sz w:val="24"/>
          <w:szCs w:val="24"/>
          <w:lang w:val="es-ES"/>
        </w:rPr>
        <w:t>si no</w:t>
      </w:r>
      <w:proofErr w:type="spellEnd"/>
      <w:r w:rsidR="008D09E7" w:rsidRPr="001D7414">
        <w:rPr>
          <w:rFonts w:ascii="Arial" w:hAnsi="Arial" w:cs="Arial"/>
          <w:sz w:val="24"/>
          <w:szCs w:val="24"/>
          <w:lang w:val="es-ES"/>
        </w:rPr>
        <w:t xml:space="preserve"> también a los extra institucionales a los que es necesario dar un nivel de organización dado desde la institución.</w:t>
      </w:r>
    </w:p>
    <w:p w14:paraId="26B9EBB7" w14:textId="77777777" w:rsidR="008D09E7" w:rsidRPr="001D7414" w:rsidRDefault="008D09E7">
      <w:pPr>
        <w:rPr>
          <w:rFonts w:ascii="Arial" w:hAnsi="Arial" w:cs="Arial"/>
          <w:sz w:val="24"/>
          <w:szCs w:val="24"/>
          <w:lang w:val="es-ES"/>
        </w:rPr>
      </w:pPr>
    </w:p>
    <w:p w14:paraId="3BE32D4D" w14:textId="5FFB6422" w:rsidR="008D09E7" w:rsidRPr="001D7414" w:rsidRDefault="008D09E7">
      <w:pPr>
        <w:rPr>
          <w:rFonts w:ascii="Arial" w:hAnsi="Arial" w:cs="Arial"/>
          <w:sz w:val="28"/>
          <w:szCs w:val="28"/>
          <w:lang w:val="es-ES"/>
        </w:rPr>
      </w:pPr>
      <w:r w:rsidRPr="001D7414">
        <w:rPr>
          <w:rFonts w:ascii="Arial" w:hAnsi="Arial" w:cs="Arial"/>
          <w:sz w:val="28"/>
          <w:szCs w:val="28"/>
          <w:lang w:val="es-ES"/>
        </w:rPr>
        <w:t>Desarrollo</w:t>
      </w:r>
    </w:p>
    <w:p w14:paraId="28F25927" w14:textId="77777777" w:rsidR="008D09E7" w:rsidRPr="001D7414" w:rsidRDefault="008D09E7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>La organización escolar adquiere una mayor utilidad y sentido cuando nos movemos en realidades complejas, donde la necesidad de ordenación es importante dada una supuesta mayor dispersión de intereses individuales.</w:t>
      </w:r>
    </w:p>
    <w:p w14:paraId="3E1D56C2" w14:textId="65FEC985" w:rsidR="008D09E7" w:rsidRPr="001D7414" w:rsidRDefault="008D09E7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La complejidad del hecho educativo y organizado y la limitación de las capacidades humanas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así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lo aconsejan,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aun asumiendo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que el proceso de categorización resta necesariamente riquezas al análisis y nos enfrentan a los reduccionismos propios de cualquier visión parcial.</w:t>
      </w:r>
    </w:p>
    <w:p w14:paraId="344CC284" w14:textId="132B5209" w:rsidR="008D09E7" w:rsidRPr="001D7414" w:rsidRDefault="008D09E7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La referencia a la existencia de una dirección, de un sentido, es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intrínseca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al termino organización y aparece en todas las conceptualizaciones que sobre el mismo se realizan.</w:t>
      </w:r>
    </w:p>
    <w:p w14:paraId="1EDB8FF4" w14:textId="77777777" w:rsidR="008D09E7" w:rsidRPr="001D7414" w:rsidRDefault="008D09E7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>Cuando hablamos de metas y valores, objetivos y finalidades o propósitos, soslayando las diferencias conceptuales y semánticas que se pueden establecer, estamos definiendo lo que pretende la organización, lo que quiere conseguir y al mismo tiempo también describimos lo que es importante para ella y el sentido que determine opciones.</w:t>
      </w:r>
    </w:p>
    <w:p w14:paraId="06A485EC" w14:textId="77777777" w:rsidR="008D09E7" w:rsidRPr="001D7414" w:rsidRDefault="008D09E7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Pero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mas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 allá de los objetivos y estructuras, las organizaciones quedan conformadas por personas que se relacionan entre si en el marco de una estructura para conseguir determinados objetivos.</w:t>
      </w:r>
    </w:p>
    <w:p w14:paraId="2A37F9FF" w14:textId="77777777" w:rsidR="00F66820" w:rsidRPr="001D7414" w:rsidRDefault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lastRenderedPageBreak/>
        <w:t xml:space="preserve">Comprender para intervenir, significan analizar ese lado oscuro de la organización,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haciendolo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 explicito, negociando y consensuado por los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impliados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 de la comunidad educativa.</w:t>
      </w:r>
    </w:p>
    <w:p w14:paraId="16346826" w14:textId="77777777" w:rsidR="00F66820" w:rsidRPr="001D7414" w:rsidRDefault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No obstante, hay que tener en cuenta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qye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 con ellos se identifican los componentes fundamentales de las organizaciones, sin que ello agote la consideración de otros elementos de menor relevancia, pero también importantes en el proceso organizativo.</w:t>
      </w:r>
    </w:p>
    <w:p w14:paraId="7BE9107F" w14:textId="091D4302" w:rsidR="00F66820" w:rsidRPr="001D7414" w:rsidRDefault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8"/>
          <w:szCs w:val="28"/>
          <w:lang w:val="es-ES"/>
        </w:rPr>
        <w:t>Recursos materiales: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son recursos necesarios para desarrollar las actividades planificadas en el centro educativo, tales como aulas, espacios administrativos</w:t>
      </w:r>
      <w:r w:rsidR="00074676" w:rsidRPr="001D7414">
        <w:rPr>
          <w:rFonts w:ascii="Arial" w:hAnsi="Arial" w:cs="Arial"/>
          <w:sz w:val="24"/>
          <w:szCs w:val="24"/>
          <w:lang w:val="es-ES"/>
        </w:rPr>
        <w:t xml:space="preserve">, laboratorios de ciencia, </w:t>
      </w:r>
      <w:proofErr w:type="spellStart"/>
      <w:r w:rsidR="00074676" w:rsidRPr="001D7414">
        <w:rPr>
          <w:rFonts w:ascii="Arial" w:hAnsi="Arial" w:cs="Arial"/>
          <w:sz w:val="24"/>
          <w:szCs w:val="24"/>
          <w:lang w:val="es-ES"/>
        </w:rPr>
        <w:t>biblotecas</w:t>
      </w:r>
      <w:proofErr w:type="spellEnd"/>
      <w:r w:rsidR="00074676" w:rsidRPr="001D7414">
        <w:rPr>
          <w:rFonts w:ascii="Arial" w:hAnsi="Arial" w:cs="Arial"/>
          <w:sz w:val="24"/>
          <w:szCs w:val="24"/>
          <w:lang w:val="es-ES"/>
        </w:rPr>
        <w:t>, aulas informáticas, talleres, patios, canchas, etc.</w:t>
      </w:r>
    </w:p>
    <w:p w14:paraId="066D1D15" w14:textId="64D64B00" w:rsidR="00F66820" w:rsidRPr="001D7414" w:rsidRDefault="00F66820" w:rsidP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8"/>
          <w:szCs w:val="28"/>
          <w:lang w:val="es-ES"/>
        </w:rPr>
        <w:t xml:space="preserve">Recursos </w:t>
      </w:r>
      <w:r w:rsidR="001D7414" w:rsidRPr="001D7414">
        <w:rPr>
          <w:rFonts w:ascii="Arial" w:hAnsi="Arial" w:cs="Arial"/>
          <w:sz w:val="28"/>
          <w:szCs w:val="28"/>
          <w:lang w:val="es-ES"/>
        </w:rPr>
        <w:t>financieros</w:t>
      </w:r>
      <w:r w:rsidRPr="001D7414">
        <w:rPr>
          <w:rFonts w:ascii="Arial" w:hAnsi="Arial" w:cs="Arial"/>
          <w:sz w:val="28"/>
          <w:szCs w:val="28"/>
          <w:lang w:val="es-ES"/>
        </w:rPr>
        <w:t xml:space="preserve">: 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considerados en dos fuentes de financiamiento; las transferencias económicas que el Ministerio de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Educación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realiza al centro educativo e ingresos provenientes de cafetines, donaciones y otros que se gestionen.</w:t>
      </w:r>
    </w:p>
    <w:p w14:paraId="1E2F8131" w14:textId="2BD2F329" w:rsidR="00074676" w:rsidRPr="001D7414" w:rsidRDefault="00074676" w:rsidP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>La organización científica de la vida de la escuela descansa en un régimen de vida adecuado del educando, el que influye en su crecimiento y desarrollo, estado de salud y capacidad de trabajo.</w:t>
      </w:r>
    </w:p>
    <w:p w14:paraId="56C738C5" w14:textId="25C9AC18" w:rsidR="00074676" w:rsidRPr="001D7414" w:rsidRDefault="00074676" w:rsidP="00F66820">
      <w:pPr>
        <w:rPr>
          <w:rFonts w:ascii="Arial" w:hAnsi="Arial" w:cs="Arial"/>
          <w:sz w:val="28"/>
          <w:szCs w:val="28"/>
          <w:lang w:val="es-ES"/>
        </w:rPr>
      </w:pPr>
      <w:r w:rsidRPr="001D7414">
        <w:rPr>
          <w:rFonts w:ascii="Arial" w:hAnsi="Arial" w:cs="Arial"/>
          <w:sz w:val="28"/>
          <w:szCs w:val="28"/>
          <w:lang w:val="es-ES"/>
        </w:rPr>
        <w:t>Conclusiones</w:t>
      </w:r>
    </w:p>
    <w:p w14:paraId="1357541D" w14:textId="1FD3ABCC" w:rsidR="00074676" w:rsidRPr="001D7414" w:rsidRDefault="00074676" w:rsidP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La organización escolar bien fundamentada es de incuestionable importancia para la dirección de la institución educativa, pues aporta normas, requisitos y regularidades de los directivos deben tener en cuenta para la organización científica del trabajo y la toma de </w:t>
      </w:r>
      <w:r w:rsidR="001D7414" w:rsidRPr="001D7414">
        <w:rPr>
          <w:rFonts w:ascii="Arial" w:hAnsi="Arial" w:cs="Arial"/>
          <w:sz w:val="24"/>
          <w:szCs w:val="24"/>
          <w:lang w:val="es-ES"/>
        </w:rPr>
        <w:t>decisiones</w:t>
      </w:r>
      <w:r w:rsidRPr="001D7414">
        <w:rPr>
          <w:rFonts w:ascii="Arial" w:hAnsi="Arial" w:cs="Arial"/>
          <w:sz w:val="24"/>
          <w:szCs w:val="24"/>
          <w:lang w:val="es-ES"/>
        </w:rPr>
        <w:t xml:space="preserve"> acertadas en su proceso de dirección estos fundamentos deben ser del conocimiento de todos los que participan en el proce</w:t>
      </w:r>
      <w:r w:rsidR="001D7414" w:rsidRPr="001D7414">
        <w:rPr>
          <w:rFonts w:ascii="Arial" w:hAnsi="Arial" w:cs="Arial"/>
          <w:sz w:val="24"/>
          <w:szCs w:val="24"/>
          <w:lang w:val="es-ES"/>
        </w:rPr>
        <w:t>so pedagógico.</w:t>
      </w:r>
    </w:p>
    <w:p w14:paraId="68EB42C3" w14:textId="7BE76DB2" w:rsidR="001D7414" w:rsidRPr="001D7414" w:rsidRDefault="001D7414" w:rsidP="00F66820">
      <w:pPr>
        <w:rPr>
          <w:rFonts w:ascii="Arial" w:hAnsi="Arial" w:cs="Arial"/>
          <w:sz w:val="28"/>
          <w:szCs w:val="28"/>
          <w:lang w:val="es-ES"/>
        </w:rPr>
      </w:pPr>
      <w:r w:rsidRPr="001D7414">
        <w:rPr>
          <w:rFonts w:ascii="Arial" w:hAnsi="Arial" w:cs="Arial"/>
          <w:sz w:val="28"/>
          <w:szCs w:val="28"/>
          <w:lang w:val="es-ES"/>
        </w:rPr>
        <w:t>Bibliografía</w:t>
      </w:r>
    </w:p>
    <w:p w14:paraId="301C8A0A" w14:textId="1263B14C" w:rsidR="001D7414" w:rsidRPr="001D7414" w:rsidRDefault="001D7414" w:rsidP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Antología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uds.</w:t>
      </w:r>
      <w:proofErr w:type="spellEnd"/>
    </w:p>
    <w:p w14:paraId="159561C4" w14:textId="08659C5B" w:rsidR="001D7414" w:rsidRPr="001D7414" w:rsidRDefault="001D7414" w:rsidP="00F66820">
      <w:pPr>
        <w:rPr>
          <w:rFonts w:ascii="Arial" w:hAnsi="Arial" w:cs="Arial"/>
          <w:sz w:val="24"/>
          <w:szCs w:val="24"/>
          <w:lang w:val="es-ES"/>
        </w:rPr>
      </w:pPr>
      <w:r w:rsidRPr="001D7414">
        <w:rPr>
          <w:rFonts w:ascii="Arial" w:hAnsi="Arial" w:cs="Arial"/>
          <w:sz w:val="24"/>
          <w:szCs w:val="24"/>
          <w:lang w:val="es-ES"/>
        </w:rPr>
        <w:t xml:space="preserve">Fuentes sordo,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o.e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. algunas consideraciones acerca del ambiente escolar. Revista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orvita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 xml:space="preserve"> científica disponible en </w:t>
      </w:r>
      <w:proofErr w:type="spellStart"/>
      <w:r w:rsidRPr="001D7414">
        <w:rPr>
          <w:rFonts w:ascii="Arial" w:hAnsi="Arial" w:cs="Arial"/>
          <w:sz w:val="24"/>
          <w:szCs w:val="24"/>
          <w:lang w:val="es-ES"/>
        </w:rPr>
        <w:t>url</w:t>
      </w:r>
      <w:proofErr w:type="spellEnd"/>
      <w:r w:rsidRPr="001D7414">
        <w:rPr>
          <w:rFonts w:ascii="Arial" w:hAnsi="Arial" w:cs="Arial"/>
          <w:sz w:val="24"/>
          <w:szCs w:val="24"/>
          <w:lang w:val="es-ES"/>
        </w:rPr>
        <w:t>.</w:t>
      </w:r>
    </w:p>
    <w:p w14:paraId="5C6BB773" w14:textId="23016A80" w:rsidR="000A5D3A" w:rsidRPr="001D7414" w:rsidRDefault="000A5D3A">
      <w:pPr>
        <w:rPr>
          <w:rFonts w:ascii="Arial" w:hAnsi="Arial" w:cs="Arial"/>
          <w:sz w:val="24"/>
          <w:szCs w:val="24"/>
          <w:lang w:val="es-ES"/>
        </w:rPr>
      </w:pPr>
    </w:p>
    <w:sectPr w:rsidR="000A5D3A" w:rsidRPr="001D7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A"/>
    <w:rsid w:val="00074676"/>
    <w:rsid w:val="000A5D3A"/>
    <w:rsid w:val="001D7414"/>
    <w:rsid w:val="005D22CE"/>
    <w:rsid w:val="008D09E7"/>
    <w:rsid w:val="00F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FB17"/>
  <w15:chartTrackingRefBased/>
  <w15:docId w15:val="{77C9FB72-6751-42F6-B04D-64B6F8F6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alejandro machin trejo</dc:creator>
  <cp:keywords/>
  <dc:description/>
  <cp:lastModifiedBy>felipe alejandro machin trejo</cp:lastModifiedBy>
  <cp:revision>1</cp:revision>
  <dcterms:created xsi:type="dcterms:W3CDTF">2022-06-18T20:21:00Z</dcterms:created>
  <dcterms:modified xsi:type="dcterms:W3CDTF">2022-06-18T21:20:00Z</dcterms:modified>
</cp:coreProperties>
</file>