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-1935964781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39FF8B13" w14:textId="2C2C9B4A" w:rsidR="00484C65" w:rsidRDefault="00484C65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5AAD44A4" wp14:editId="442F32F3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2347119FC4D240EFA7D38D18F81AFD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B871A37" w14:textId="243B1EC0" w:rsidR="00484C65" w:rsidRDefault="00007D06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uds- universidad del sureste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AFA1FFEE6B6D40F1A5DB9B188D9B4A0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905804E" w14:textId="6C8BAD61" w:rsidR="00484C65" w:rsidRDefault="00007D06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 xml:space="preserve">FISIOPATOLOGIA </w:t>
              </w:r>
            </w:p>
          </w:sdtContent>
        </w:sdt>
        <w:p w14:paraId="5317FF62" w14:textId="77777777" w:rsidR="00484C65" w:rsidRDefault="00484C65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C27947" wp14:editId="7CB3934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FDE59F9" w14:textId="05D206C1" w:rsidR="00484C65" w:rsidRDefault="00007D06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10 DE JULIO DE 2022</w:t>
                                    </w:r>
                                  </w:p>
                                </w:sdtContent>
                              </w:sdt>
                              <w:p w14:paraId="302E6EAA" w14:textId="6DBADE51" w:rsidR="00484C65" w:rsidRDefault="00484C65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411F19">
                                      <w:rPr>
                                        <w:caps/>
                                        <w:color w:val="4472C4" w:themeColor="accent1"/>
                                      </w:rPr>
                                      <w:t>CUADRO COMPARATIVO</w:t>
                                    </w:r>
                                  </w:sdtContent>
                                </w:sdt>
                              </w:p>
                              <w:p w14:paraId="005834FF" w14:textId="286758AF" w:rsidR="00484C65" w:rsidRDefault="00484C65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411F19">
                                      <w:rPr>
                                        <w:color w:val="4472C4" w:themeColor="accent1"/>
                                      </w:rPr>
                                      <w:t xml:space="preserve">LILI MONTSERRAT RECIONOS VAZQUEZ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C2794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FDE59F9" w14:textId="05D206C1" w:rsidR="00484C65" w:rsidRDefault="00007D06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10 DE JULIO DE 2022</w:t>
                              </w:r>
                            </w:p>
                          </w:sdtContent>
                        </w:sdt>
                        <w:p w14:paraId="302E6EAA" w14:textId="6DBADE51" w:rsidR="00484C65" w:rsidRDefault="00484C65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11F19">
                                <w:rPr>
                                  <w:caps/>
                                  <w:color w:val="4472C4" w:themeColor="accent1"/>
                                </w:rPr>
                                <w:t>CUADRO COMPARATIVO</w:t>
                              </w:r>
                            </w:sdtContent>
                          </w:sdt>
                        </w:p>
                        <w:p w14:paraId="005834FF" w14:textId="286758AF" w:rsidR="00484C65" w:rsidRDefault="00484C65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411F19">
                                <w:rPr>
                                  <w:color w:val="4472C4" w:themeColor="accent1"/>
                                </w:rPr>
                                <w:t xml:space="preserve">LILI MONTSERRAT RECIONOS VAZQUEZ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1026CA24" wp14:editId="3B25808C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B82A30" w14:textId="49444A15" w:rsidR="00484C65" w:rsidRDefault="00484C65">
          <w:r>
            <w:br w:type="page"/>
          </w:r>
        </w:p>
      </w:sdtContent>
    </w:sdt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385"/>
        <w:gridCol w:w="2029"/>
      </w:tblGrid>
      <w:tr w:rsidR="00484C65" w14:paraId="07813F25" w14:textId="77777777" w:rsidTr="00007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13DB147" w14:textId="641C8845" w:rsidR="00484C65" w:rsidRDefault="00484C65">
            <w:r>
              <w:lastRenderedPageBreak/>
              <w:t>ENFERMEDAD RENAL CRONICA</w:t>
            </w:r>
          </w:p>
        </w:tc>
        <w:tc>
          <w:tcPr>
            <w:tcW w:w="2207" w:type="dxa"/>
          </w:tcPr>
          <w:p w14:paraId="46C6CA08" w14:textId="04EB50DB" w:rsidR="00484C65" w:rsidRDefault="00484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TRATAMIENTO</w:t>
            </w:r>
          </w:p>
        </w:tc>
        <w:tc>
          <w:tcPr>
            <w:tcW w:w="2385" w:type="dxa"/>
          </w:tcPr>
          <w:p w14:paraId="53417B8F" w14:textId="2D214228" w:rsidR="00484C65" w:rsidRDefault="00484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ENFERMEDAD RENAL AGUDA</w:t>
            </w:r>
          </w:p>
        </w:tc>
        <w:tc>
          <w:tcPr>
            <w:tcW w:w="2029" w:type="dxa"/>
          </w:tcPr>
          <w:p w14:paraId="122DF0F2" w14:textId="57031EFE" w:rsidR="00484C65" w:rsidRDefault="00484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TRATAMIENTO</w:t>
            </w:r>
          </w:p>
        </w:tc>
      </w:tr>
      <w:tr w:rsidR="00484C65" w14:paraId="797695CB" w14:textId="77777777" w:rsidTr="00007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65A9FFB8" w14:textId="77777777" w:rsidR="00484C65" w:rsidRDefault="00484C65" w:rsidP="00484C65">
            <w:r>
              <w:t>pérdida gradual de la función renal.</w:t>
            </w:r>
          </w:p>
          <w:p w14:paraId="45C419B9" w14:textId="77777777" w:rsidR="00484C65" w:rsidRDefault="00484C65" w:rsidP="00484C65"/>
          <w:p w14:paraId="0F1BACEB" w14:textId="77777777" w:rsidR="00484C65" w:rsidRDefault="00484C65" w:rsidP="00484C65">
            <w:r>
              <w:t>Tus riñones filtran los desechos y el exceso de líquido de la sangre, que luego se excretan con la orina.</w:t>
            </w:r>
          </w:p>
          <w:p w14:paraId="33C57DA0" w14:textId="77777777" w:rsidR="00484C65" w:rsidRDefault="00484C65" w:rsidP="00484C65"/>
          <w:p w14:paraId="04603002" w14:textId="3A713D31" w:rsidR="00484C65" w:rsidRDefault="00484C65" w:rsidP="00484C65">
            <w:r>
              <w:t>Cuando la enfermedad renal crónica llega a una etapa avanzada, pueden acumularse niveles peligrosos de líquidos, electrolitos y desechos en tu cuerpo.</w:t>
            </w:r>
          </w:p>
        </w:tc>
        <w:tc>
          <w:tcPr>
            <w:tcW w:w="2207" w:type="dxa"/>
          </w:tcPr>
          <w:p w14:paraId="3781F729" w14:textId="77777777" w:rsidR="00CB524B" w:rsidRPr="00CB524B" w:rsidRDefault="00CB524B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524B">
              <w:rPr>
                <w:b/>
                <w:bCs/>
              </w:rPr>
              <w:t>Tratamiento de las enfermedades concomitantes.</w:t>
            </w:r>
          </w:p>
          <w:p w14:paraId="0FF39F83" w14:textId="77777777" w:rsidR="00CB524B" w:rsidRPr="00CB524B" w:rsidRDefault="00CB524B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03B203C" w14:textId="61401B01" w:rsidR="00CB524B" w:rsidRPr="00CB524B" w:rsidRDefault="00CB524B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524B">
              <w:rPr>
                <w:b/>
                <w:bCs/>
              </w:rPr>
              <w:t>2. Prevención de las enfermedades cardiovasculares (alto riesgo en pacientes con ERC), incluyendo la suspensión del tabaquismo y una actividad física regular.</w:t>
            </w:r>
          </w:p>
          <w:p w14:paraId="475067C0" w14:textId="77777777" w:rsidR="00CB524B" w:rsidRPr="00CB524B" w:rsidRDefault="00CB524B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791E6DBA" w14:textId="20166028" w:rsidR="00484C65" w:rsidRPr="00CB524B" w:rsidRDefault="00484C65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85" w:type="dxa"/>
          </w:tcPr>
          <w:p w14:paraId="2E14CF79" w14:textId="77777777" w:rsidR="00484C65" w:rsidRPr="00484C65" w:rsidRDefault="00484C65" w:rsidP="0048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C65">
              <w:rPr>
                <w:b/>
                <w:bCs/>
              </w:rPr>
              <w:t>ocurre cuando los riñones pierden de repente la capacidad de filtrar los desechos de la sangre.</w:t>
            </w:r>
          </w:p>
          <w:p w14:paraId="6F68183D" w14:textId="77777777" w:rsidR="00484C65" w:rsidRPr="00484C65" w:rsidRDefault="00484C65" w:rsidP="0048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F6470D5" w14:textId="058F1D6E" w:rsidR="00484C65" w:rsidRPr="00484C65" w:rsidRDefault="00484C65" w:rsidP="0048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84C65">
              <w:rPr>
                <w:b/>
                <w:bCs/>
              </w:rPr>
              <w:t>Cuando los riñones pierden la capacidad de filtración, pueden acumularse niveles nocivos de deshechos, y puede desequilibrarse la composición química de la sangre.</w:t>
            </w:r>
          </w:p>
        </w:tc>
        <w:tc>
          <w:tcPr>
            <w:tcW w:w="2029" w:type="dxa"/>
          </w:tcPr>
          <w:p w14:paraId="56EAADA9" w14:textId="77777777" w:rsidR="00007D06" w:rsidRPr="00007D06" w:rsidRDefault="00007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ingesta de líquidos, uso de medicamentos y diálisis</w:t>
            </w:r>
          </w:p>
          <w:p w14:paraId="6B496362" w14:textId="5785A29F" w:rsidR="00484C65" w:rsidRPr="00007D06" w:rsidRDefault="00007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.</w:t>
            </w:r>
            <w:r w:rsidRPr="00007D06">
              <w:rPr>
                <w:b/>
                <w:bCs/>
              </w:rPr>
              <w:t xml:space="preserve"> </w:t>
            </w:r>
            <w:r w:rsidRPr="00007D06">
              <w:rPr>
                <w:b/>
                <w:bCs/>
              </w:rPr>
              <w:t>Tratamientos para equilibrar la cantidad de líquidos en sangre</w:t>
            </w:r>
            <w:r w:rsidRPr="00007D06">
              <w:rPr>
                <w:b/>
                <w:bCs/>
              </w:rPr>
              <w:t xml:space="preserve">, </w:t>
            </w:r>
            <w:r w:rsidRPr="00007D06">
              <w:rPr>
                <w:b/>
                <w:bCs/>
              </w:rPr>
              <w:t>Medicamentos para controlar el potasio en sangre</w:t>
            </w:r>
            <w:r w:rsidRPr="00007D06">
              <w:rPr>
                <w:b/>
                <w:bCs/>
              </w:rPr>
              <w:t xml:space="preserve">, </w:t>
            </w:r>
            <w:r w:rsidRPr="00007D06">
              <w:rPr>
                <w:b/>
                <w:bCs/>
              </w:rPr>
              <w:t>Medicamentos para restablecer los niveles de calcio en sangre</w:t>
            </w:r>
            <w:r w:rsidRPr="00007D06">
              <w:rPr>
                <w:b/>
                <w:bCs/>
              </w:rPr>
              <w:t xml:space="preserve">, </w:t>
            </w:r>
            <w:r w:rsidRPr="00007D06">
              <w:rPr>
                <w:b/>
                <w:bCs/>
              </w:rPr>
              <w:t>Diálisis para eliminar toxinas de la sangre</w:t>
            </w:r>
            <w:r w:rsidRPr="00007D06">
              <w:rPr>
                <w:b/>
                <w:bCs/>
              </w:rPr>
              <w:t xml:space="preserve">. </w:t>
            </w:r>
          </w:p>
        </w:tc>
      </w:tr>
      <w:tr w:rsidR="00484C65" w14:paraId="715C65E5" w14:textId="77777777" w:rsidTr="0000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3363D6E1" w14:textId="77777777" w:rsidR="00484C65" w:rsidRDefault="00484C65">
            <w:pPr>
              <w:rPr>
                <w:b w:val="0"/>
                <w:bCs w:val="0"/>
              </w:rPr>
            </w:pPr>
            <w:r>
              <w:t>FACTORES DE RIESGO</w:t>
            </w:r>
          </w:p>
          <w:p w14:paraId="555D7BDD" w14:textId="0AF90DFF" w:rsidR="00484C65" w:rsidRDefault="00484C65">
            <w:r>
              <w:t>Edad, sexo masculino, raza negra, nacimiento con bajo peso, diabetes, obesidad, tabaquismo, etc.</w:t>
            </w:r>
          </w:p>
        </w:tc>
        <w:tc>
          <w:tcPr>
            <w:tcW w:w="2207" w:type="dxa"/>
          </w:tcPr>
          <w:p w14:paraId="5A554C03" w14:textId="77777777" w:rsidR="00CB524B" w:rsidRPr="00CB524B" w:rsidRDefault="00CB524B" w:rsidP="00CB5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524B">
              <w:rPr>
                <w:b/>
                <w:bCs/>
              </w:rPr>
              <w:t xml:space="preserve">3. Evitar los fármacos nefrotóxicos. Hay que ajustar la dosis de los fármacos de acuerdo con la depuración renal, es decir, al nivel de la </w:t>
            </w:r>
            <w:proofErr w:type="spellStart"/>
            <w:r w:rsidRPr="00CB524B">
              <w:rPr>
                <w:b/>
                <w:bCs/>
              </w:rPr>
              <w:t>ClCr</w:t>
            </w:r>
            <w:proofErr w:type="spellEnd"/>
            <w:r w:rsidRPr="00CB524B">
              <w:rPr>
                <w:b/>
                <w:bCs/>
              </w:rPr>
              <w:t>.</w:t>
            </w:r>
          </w:p>
          <w:p w14:paraId="1551FBF7" w14:textId="77777777" w:rsidR="00CB524B" w:rsidRPr="00CB524B" w:rsidRDefault="00CB524B" w:rsidP="00CB5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E65B582" w14:textId="7913B182" w:rsidR="00484C65" w:rsidRDefault="00CB524B" w:rsidP="00CB5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24B">
              <w:rPr>
                <w:b/>
                <w:bCs/>
              </w:rPr>
              <w:t>4. Prevención de las infecciones a través de la vacunación:</w:t>
            </w:r>
          </w:p>
        </w:tc>
        <w:tc>
          <w:tcPr>
            <w:tcW w:w="2385" w:type="dxa"/>
          </w:tcPr>
          <w:p w14:paraId="3A50C2A1" w14:textId="77777777" w:rsidR="00484C65" w:rsidRDefault="0048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84C65">
              <w:rPr>
                <w:b/>
                <w:bCs/>
              </w:rPr>
              <w:t>FACTORES DE RIESGO</w:t>
            </w:r>
          </w:p>
          <w:p w14:paraId="3EBB53D4" w14:textId="77777777" w:rsidR="00007D06" w:rsidRPr="00007D06" w:rsidRDefault="00007D06" w:rsidP="0000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Diabetes</w:t>
            </w:r>
          </w:p>
          <w:p w14:paraId="338BBE4A" w14:textId="77777777" w:rsidR="00007D06" w:rsidRPr="00007D06" w:rsidRDefault="00007D06" w:rsidP="0000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Presión arterial alta</w:t>
            </w:r>
          </w:p>
          <w:p w14:paraId="130FE14C" w14:textId="77777777" w:rsidR="00007D06" w:rsidRPr="00007D06" w:rsidRDefault="00007D06" w:rsidP="0000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Insuficiencia cardíaca</w:t>
            </w:r>
          </w:p>
          <w:p w14:paraId="6342CDDD" w14:textId="77777777" w:rsidR="00007D06" w:rsidRPr="00007D06" w:rsidRDefault="00007D06" w:rsidP="0000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Enfermedades renales</w:t>
            </w:r>
          </w:p>
          <w:p w14:paraId="14E08C67" w14:textId="77777777" w:rsidR="00007D06" w:rsidRPr="00007D06" w:rsidRDefault="00007D06" w:rsidP="0000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Enfermedades hepáticas</w:t>
            </w:r>
          </w:p>
          <w:p w14:paraId="1EF12F78" w14:textId="0426A7E4" w:rsidR="00484C65" w:rsidRPr="00484C65" w:rsidRDefault="00007D06" w:rsidP="0000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Algunos tipos de cáncer y sus tratamientos</w:t>
            </w:r>
            <w:r>
              <w:rPr>
                <w:b/>
                <w:bCs/>
              </w:rPr>
              <w:t xml:space="preserve"> y edad avanzada.</w:t>
            </w:r>
          </w:p>
        </w:tc>
        <w:tc>
          <w:tcPr>
            <w:tcW w:w="2029" w:type="dxa"/>
          </w:tcPr>
          <w:p w14:paraId="25B6D028" w14:textId="6B51DD64" w:rsidR="00484C65" w:rsidRDefault="00007D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5B53FA" wp14:editId="6FDAFCD1">
                  <wp:simplePos x="0" y="0"/>
                  <wp:positionH relativeFrom="column">
                    <wp:posOffset>-60103</wp:posOffset>
                  </wp:positionH>
                  <wp:positionV relativeFrom="paragraph">
                    <wp:posOffset>473710</wp:posOffset>
                  </wp:positionV>
                  <wp:extent cx="1258460" cy="1046603"/>
                  <wp:effectExtent l="0" t="0" r="0" b="127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60" cy="10466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4C65" w14:paraId="6BF7456D" w14:textId="77777777" w:rsidTr="00007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42EA7303" w14:textId="2F5EB7FD" w:rsidR="00484C65" w:rsidRDefault="00CB524B">
            <w:pPr>
              <w:rPr>
                <w:b w:val="0"/>
                <w:bCs w:val="0"/>
              </w:rPr>
            </w:pPr>
            <w:r>
              <w:t>CAUSAS</w:t>
            </w:r>
          </w:p>
          <w:p w14:paraId="00BDFA75" w14:textId="7C2F7121" w:rsidR="00CB524B" w:rsidRDefault="00CB524B">
            <w:r w:rsidRPr="00CB524B">
              <w:t>nefropatía diabética, glomerulonefritis, nefropatía hipertensiva, AKI, nefropatía intersticial (tubulointersticial), degeneración quística renal, nefropatía isquémica.</w:t>
            </w:r>
          </w:p>
        </w:tc>
        <w:tc>
          <w:tcPr>
            <w:tcW w:w="2207" w:type="dxa"/>
          </w:tcPr>
          <w:p w14:paraId="0AE57383" w14:textId="77777777" w:rsidR="00CB524B" w:rsidRPr="00CB524B" w:rsidRDefault="00CB524B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524B">
              <w:rPr>
                <w:b/>
                <w:bCs/>
              </w:rPr>
              <w:t>1) vacunación anual antigripal (indicada en todos los pacientes con ERC)</w:t>
            </w:r>
          </w:p>
          <w:p w14:paraId="1F8D1027" w14:textId="77777777" w:rsidR="00CB524B" w:rsidRPr="00CB524B" w:rsidRDefault="00CB524B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01B17E6A" w14:textId="77777777" w:rsidR="00CB524B" w:rsidRPr="00CB524B" w:rsidRDefault="00CB524B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524B">
              <w:rPr>
                <w:b/>
                <w:bCs/>
              </w:rPr>
              <w:t>2) vacuna polivalente antineumocócica (vacunar a todos los pacientes con la TFG &lt;30 ml/min/1,73 m2, repetir pasados los 5 años)</w:t>
            </w:r>
          </w:p>
          <w:p w14:paraId="133DFC26" w14:textId="54CB39C8" w:rsidR="00484C65" w:rsidRPr="00CB524B" w:rsidRDefault="00484C65" w:rsidP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85" w:type="dxa"/>
          </w:tcPr>
          <w:p w14:paraId="6C274715" w14:textId="482D6F87" w:rsidR="00484C65" w:rsidRDefault="00CB5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B524B">
              <w:rPr>
                <w:b/>
                <w:bCs/>
              </w:rPr>
              <w:t>CAUSAS</w:t>
            </w:r>
          </w:p>
          <w:p w14:paraId="0C11B000" w14:textId="6F8FC68A" w:rsidR="00007D06" w:rsidRPr="00007D06" w:rsidRDefault="00007D06" w:rsidP="00007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 xml:space="preserve">Tienes una enfermedad que reduce el flujo normal de circulación de sangre </w:t>
            </w:r>
          </w:p>
          <w:p w14:paraId="1D9995EB" w14:textId="14327785" w:rsidR="00007D06" w:rsidRPr="00007D06" w:rsidRDefault="00007D06" w:rsidP="00007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Experimentas una lesión directa en los riñones.</w:t>
            </w:r>
          </w:p>
          <w:p w14:paraId="4BFF06A3" w14:textId="2206A64E" w:rsidR="00CB524B" w:rsidRPr="00CB524B" w:rsidRDefault="00007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7D06">
              <w:rPr>
                <w:b/>
                <w:bCs/>
              </w:rPr>
              <w:t>Los tubos de drenaje de orina (uréteres) de los riñones se obstruyen y los deshechos no pueden eliminar</w:t>
            </w:r>
            <w:r>
              <w:rPr>
                <w:b/>
                <w:bCs/>
              </w:rPr>
              <w:t xml:space="preserve"> </w:t>
            </w:r>
            <w:r w:rsidRPr="00007D06">
              <w:rPr>
                <w:b/>
                <w:bCs/>
              </w:rPr>
              <w:t xml:space="preserve">del cuerpo </w:t>
            </w:r>
            <w:r>
              <w:rPr>
                <w:b/>
                <w:bCs/>
              </w:rPr>
              <w:t xml:space="preserve">La </w:t>
            </w:r>
            <w:r w:rsidRPr="00007D06">
              <w:rPr>
                <w:b/>
                <w:bCs/>
              </w:rPr>
              <w:t>orina.</w:t>
            </w:r>
          </w:p>
        </w:tc>
        <w:tc>
          <w:tcPr>
            <w:tcW w:w="2029" w:type="dxa"/>
          </w:tcPr>
          <w:p w14:paraId="11AE6F7A" w14:textId="0A975984" w:rsidR="00484C65" w:rsidRDefault="00484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C65" w14:paraId="73335CC2" w14:textId="77777777" w:rsidTr="00007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70173CCF" w14:textId="1A290C2C" w:rsidR="00484C65" w:rsidRDefault="00CB524B">
            <w:pPr>
              <w:rPr>
                <w:b w:val="0"/>
                <w:bCs w:val="0"/>
              </w:rPr>
            </w:pPr>
            <w:r>
              <w:lastRenderedPageBreak/>
              <w:t>SINTOMAS GENERALES</w:t>
            </w:r>
          </w:p>
          <w:p w14:paraId="082F69F3" w14:textId="48FDC369" w:rsidR="00CB524B" w:rsidRDefault="00CB524B">
            <w:r>
              <w:t>D</w:t>
            </w:r>
            <w:r w:rsidRPr="00CB524B">
              <w:t>ebilidad, fatiga, hipotermia, pérdida de apetito, disminución de la resistencia a las infecciones.</w:t>
            </w:r>
          </w:p>
        </w:tc>
        <w:tc>
          <w:tcPr>
            <w:tcW w:w="2207" w:type="dxa"/>
          </w:tcPr>
          <w:p w14:paraId="1E0052CA" w14:textId="50D340D5" w:rsidR="00484C65" w:rsidRPr="00CB524B" w:rsidRDefault="00CB524B" w:rsidP="00CB5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B524B">
              <w:rPr>
                <w:b/>
                <w:bCs/>
              </w:rPr>
              <w:t>vacunación contra la hepatitis B (en todos los pacientes con la TFG &lt;30 ml/min/1,73 m2 o antes, si aparece una reducción progresiva de la TFG).</w:t>
            </w:r>
          </w:p>
        </w:tc>
        <w:tc>
          <w:tcPr>
            <w:tcW w:w="2385" w:type="dxa"/>
          </w:tcPr>
          <w:p w14:paraId="77421A64" w14:textId="77777777" w:rsidR="00484C65" w:rsidRPr="005E61C2" w:rsidRDefault="00CB5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SINTOMAS</w:t>
            </w:r>
          </w:p>
          <w:p w14:paraId="524564EF" w14:textId="77777777" w:rsidR="005E61C2" w:rsidRPr="005E61C2" w:rsidRDefault="00CB524B" w:rsidP="005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GENERALES</w:t>
            </w:r>
            <w:r w:rsidR="005E61C2" w:rsidRPr="005E61C2">
              <w:rPr>
                <w:b/>
                <w:bCs/>
              </w:rPr>
              <w:br/>
            </w:r>
            <w:r w:rsidR="005E61C2" w:rsidRPr="005E61C2">
              <w:rPr>
                <w:b/>
                <w:bCs/>
              </w:rPr>
              <w:t>Orinas con menos frecuencia y muy poco.</w:t>
            </w:r>
          </w:p>
          <w:p w14:paraId="4B3E0495" w14:textId="77777777" w:rsidR="005E61C2" w:rsidRPr="005E61C2" w:rsidRDefault="005E61C2" w:rsidP="005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Tus piernas, tobillos y pies se hinchan.</w:t>
            </w:r>
          </w:p>
          <w:p w14:paraId="2542A737" w14:textId="77777777" w:rsidR="005E61C2" w:rsidRPr="005E61C2" w:rsidRDefault="005E61C2" w:rsidP="005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Presentas fatiga acompañada de falta de aire.</w:t>
            </w:r>
          </w:p>
          <w:p w14:paraId="0915AFB7" w14:textId="77777777" w:rsidR="005E61C2" w:rsidRPr="005E61C2" w:rsidRDefault="005E61C2" w:rsidP="005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Te sientes desorientad@ y/o débil.</w:t>
            </w:r>
          </w:p>
          <w:p w14:paraId="2002C4F1" w14:textId="77777777" w:rsidR="005E61C2" w:rsidRPr="005E61C2" w:rsidRDefault="005E61C2" w:rsidP="005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Sientes dolor u opresión en el pecho.</w:t>
            </w:r>
          </w:p>
          <w:p w14:paraId="254A13A4" w14:textId="77777777" w:rsidR="005E61C2" w:rsidRPr="005E61C2" w:rsidRDefault="005E61C2" w:rsidP="005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Has tenido náuseas sin razón aparente.</w:t>
            </w:r>
          </w:p>
          <w:p w14:paraId="0D74DC1D" w14:textId="25E03600" w:rsidR="00CB524B" w:rsidRPr="005E61C2" w:rsidRDefault="005E61C2" w:rsidP="005E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1C2">
              <w:rPr>
                <w:b/>
                <w:bCs/>
              </w:rPr>
              <w:t>Tu ritmo cardíaco es irregular.</w:t>
            </w:r>
          </w:p>
        </w:tc>
        <w:tc>
          <w:tcPr>
            <w:tcW w:w="2029" w:type="dxa"/>
          </w:tcPr>
          <w:p w14:paraId="572CF803" w14:textId="77777777" w:rsidR="00484C65" w:rsidRDefault="00484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30F6DE" w14:textId="77777777" w:rsidR="00B953E1" w:rsidRDefault="00B953E1"/>
    <w:sectPr w:rsidR="00B953E1" w:rsidSect="00484C65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65"/>
    <w:rsid w:val="00007D06"/>
    <w:rsid w:val="00411F19"/>
    <w:rsid w:val="00484C65"/>
    <w:rsid w:val="005E61C2"/>
    <w:rsid w:val="00B953E1"/>
    <w:rsid w:val="00C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5C57C3"/>
  <w15:chartTrackingRefBased/>
  <w15:docId w15:val="{ECCE3FDC-1086-4027-B11A-8B8060EC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84C6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4C65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48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484C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7119FC4D240EFA7D38D18F81AF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D3A0-855C-467A-A105-9D6F8D31C40E}"/>
      </w:docPartPr>
      <w:docPartBody>
        <w:p w:rsidR="00000000" w:rsidRDefault="00532D04" w:rsidP="00532D04">
          <w:pPr>
            <w:pStyle w:val="2347119FC4D240EFA7D38D18F81AFD62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AFA1FFEE6B6D40F1A5DB9B188D9B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FAF3-BE3B-4C59-854F-618FC9A89F26}"/>
      </w:docPartPr>
      <w:docPartBody>
        <w:p w:rsidR="00000000" w:rsidRDefault="00532D04" w:rsidP="00532D04">
          <w:pPr>
            <w:pStyle w:val="AFA1FFEE6B6D40F1A5DB9B188D9B4A05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4"/>
    <w:rsid w:val="0053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47119FC4D240EFA7D38D18F81AFD62">
    <w:name w:val="2347119FC4D240EFA7D38D18F81AFD62"/>
    <w:rsid w:val="00532D04"/>
  </w:style>
  <w:style w:type="paragraph" w:customStyle="1" w:styleId="AFA1FFEE6B6D40F1A5DB9B188D9B4A05">
    <w:name w:val="AFA1FFEE6B6D40F1A5DB9B188D9B4A05"/>
    <w:rsid w:val="00532D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10 DE JULIO DE 2022</PublishDate>
  <Abstract/>
  <CompanyAddress>LILI MONTSERRAT RECIONOS VAZQUEZ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CUADRO COMPARATIVO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uds- universidad del sureste</dc:title>
  <dc:subject>FISIOPATOLOGIA</dc:subject>
  <dc:creator>montserratrecinos9854@gmail.com</dc:creator>
  <cp:keywords/>
  <dc:description/>
  <cp:lastModifiedBy>montserratrecinos9854@gmail.com</cp:lastModifiedBy>
  <cp:revision>1</cp:revision>
  <dcterms:created xsi:type="dcterms:W3CDTF">2022-07-11T00:19:00Z</dcterms:created>
  <dcterms:modified xsi:type="dcterms:W3CDTF">2022-07-11T01:03:00Z</dcterms:modified>
</cp:coreProperties>
</file>