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01E8" w14:textId="5BB5828B" w:rsidR="002A3538" w:rsidRDefault="001F2DC0" w:rsidP="001F2DC0">
      <w:pPr>
        <w:spacing w:line="720" w:lineRule="auto"/>
        <w:jc w:val="center"/>
        <w:rPr>
          <w:rFonts w:ascii="Arial" w:hAnsi="Arial" w:cs="Arial"/>
        </w:rPr>
      </w:pPr>
      <w:r w:rsidRPr="001F2DC0">
        <w:rPr>
          <w:rFonts w:ascii="Arial" w:hAnsi="Arial" w:cs="Arial"/>
        </w:rPr>
        <w:t>Universidad del sureste</w:t>
      </w:r>
    </w:p>
    <w:p w14:paraId="5D5DF60C" w14:textId="168B6364" w:rsidR="001F2DC0" w:rsidRDefault="001F2DC0" w:rsidP="001F2DC0">
      <w:pPr>
        <w:spacing w:line="720" w:lineRule="auto"/>
        <w:jc w:val="center"/>
        <w:rPr>
          <w:rFonts w:ascii="Arial" w:hAnsi="Arial" w:cs="Arial"/>
        </w:rPr>
      </w:pPr>
    </w:p>
    <w:p w14:paraId="7C70B782" w14:textId="77777777" w:rsidR="001F2DC0" w:rsidRPr="001F2DC0" w:rsidRDefault="001F2DC0" w:rsidP="001F2DC0">
      <w:pPr>
        <w:spacing w:line="720" w:lineRule="auto"/>
        <w:jc w:val="center"/>
        <w:rPr>
          <w:rFonts w:ascii="Arial" w:hAnsi="Arial" w:cs="Arial"/>
        </w:rPr>
      </w:pPr>
    </w:p>
    <w:p w14:paraId="69865148" w14:textId="78B5053F" w:rsidR="001F2DC0" w:rsidRDefault="001F2DC0" w:rsidP="001F2DC0">
      <w:pPr>
        <w:spacing w:line="720" w:lineRule="auto"/>
        <w:jc w:val="center"/>
        <w:rPr>
          <w:rFonts w:ascii="Arial" w:hAnsi="Arial" w:cs="Arial"/>
        </w:rPr>
      </w:pPr>
      <w:r w:rsidRPr="001F2DC0">
        <w:rPr>
          <w:rFonts w:ascii="Arial" w:hAnsi="Arial" w:cs="Arial"/>
        </w:rPr>
        <w:t>DR. Saúl Peraza Marín</w:t>
      </w:r>
    </w:p>
    <w:p w14:paraId="53972863" w14:textId="0B3D01AC" w:rsidR="001F2DC0" w:rsidRDefault="001F2DC0" w:rsidP="001F2DC0">
      <w:pPr>
        <w:spacing w:line="720" w:lineRule="auto"/>
        <w:jc w:val="center"/>
        <w:rPr>
          <w:rFonts w:ascii="Arial" w:hAnsi="Arial" w:cs="Arial"/>
        </w:rPr>
      </w:pPr>
    </w:p>
    <w:p w14:paraId="3E75D84F" w14:textId="77777777" w:rsidR="001F2DC0" w:rsidRPr="001F2DC0" w:rsidRDefault="001F2DC0" w:rsidP="001F2DC0">
      <w:pPr>
        <w:spacing w:line="720" w:lineRule="auto"/>
        <w:jc w:val="center"/>
        <w:rPr>
          <w:rFonts w:ascii="Arial" w:hAnsi="Arial" w:cs="Arial"/>
        </w:rPr>
      </w:pPr>
    </w:p>
    <w:p w14:paraId="38913EAC" w14:textId="68F54A62" w:rsidR="001F2DC0" w:rsidRDefault="001F2DC0" w:rsidP="001F2DC0">
      <w:pPr>
        <w:spacing w:line="720" w:lineRule="auto"/>
        <w:jc w:val="center"/>
        <w:rPr>
          <w:rFonts w:ascii="Arial" w:hAnsi="Arial" w:cs="Arial"/>
        </w:rPr>
      </w:pPr>
      <w:r w:rsidRPr="001F2DC0">
        <w:rPr>
          <w:rFonts w:ascii="Arial" w:hAnsi="Arial" w:cs="Arial"/>
        </w:rPr>
        <w:t>Clínica pediátrica</w:t>
      </w:r>
    </w:p>
    <w:p w14:paraId="25338B70" w14:textId="49F82AB6" w:rsidR="001F2DC0" w:rsidRDefault="001F2DC0" w:rsidP="001F2DC0">
      <w:pPr>
        <w:spacing w:line="720" w:lineRule="auto"/>
        <w:jc w:val="center"/>
        <w:rPr>
          <w:rFonts w:ascii="Arial" w:hAnsi="Arial" w:cs="Arial"/>
        </w:rPr>
      </w:pPr>
    </w:p>
    <w:p w14:paraId="508B640E" w14:textId="77777777" w:rsidR="001F2DC0" w:rsidRPr="001F2DC0" w:rsidRDefault="001F2DC0" w:rsidP="001F2DC0">
      <w:pPr>
        <w:spacing w:line="720" w:lineRule="auto"/>
        <w:jc w:val="center"/>
        <w:rPr>
          <w:rFonts w:ascii="Arial" w:hAnsi="Arial" w:cs="Arial"/>
        </w:rPr>
      </w:pPr>
    </w:p>
    <w:p w14:paraId="709E8504" w14:textId="45790880" w:rsidR="001F2DC0" w:rsidRDefault="001F2DC0" w:rsidP="001F2DC0">
      <w:pPr>
        <w:spacing w:line="720" w:lineRule="auto"/>
        <w:jc w:val="center"/>
        <w:rPr>
          <w:rFonts w:ascii="Arial" w:hAnsi="Arial" w:cs="Arial"/>
        </w:rPr>
      </w:pPr>
      <w:r w:rsidRPr="001F2DC0">
        <w:rPr>
          <w:rFonts w:ascii="Arial" w:hAnsi="Arial" w:cs="Arial"/>
        </w:rPr>
        <w:t>Monografía 1</w:t>
      </w:r>
    </w:p>
    <w:p w14:paraId="4F47F4E9" w14:textId="0E8A420F" w:rsidR="001F2DC0" w:rsidRDefault="001F2DC0" w:rsidP="001F2DC0">
      <w:pPr>
        <w:spacing w:line="720" w:lineRule="auto"/>
        <w:jc w:val="center"/>
        <w:rPr>
          <w:rFonts w:ascii="Arial" w:hAnsi="Arial" w:cs="Arial"/>
        </w:rPr>
      </w:pPr>
    </w:p>
    <w:p w14:paraId="6914EC2C" w14:textId="77777777" w:rsidR="001F2DC0" w:rsidRPr="001F2DC0" w:rsidRDefault="001F2DC0" w:rsidP="001F2DC0">
      <w:pPr>
        <w:spacing w:line="720" w:lineRule="auto"/>
        <w:jc w:val="center"/>
        <w:rPr>
          <w:rFonts w:ascii="Arial" w:hAnsi="Arial" w:cs="Arial"/>
        </w:rPr>
      </w:pPr>
    </w:p>
    <w:p w14:paraId="6DB8A5AD" w14:textId="62B55310" w:rsidR="001F2DC0" w:rsidRDefault="001F2DC0" w:rsidP="001F2DC0">
      <w:pPr>
        <w:spacing w:line="720" w:lineRule="auto"/>
        <w:jc w:val="center"/>
        <w:rPr>
          <w:rFonts w:ascii="Arial" w:hAnsi="Arial" w:cs="Arial"/>
        </w:rPr>
      </w:pPr>
      <w:r w:rsidRPr="001F2DC0">
        <w:rPr>
          <w:rFonts w:ascii="Arial" w:hAnsi="Arial" w:cs="Arial"/>
        </w:rPr>
        <w:t>Hannia del Carmen Salazar Jiménez</w:t>
      </w:r>
    </w:p>
    <w:p w14:paraId="6140690C" w14:textId="7F0AE233" w:rsidR="001F2DC0" w:rsidRDefault="001F2DC0" w:rsidP="001F2DC0">
      <w:pPr>
        <w:spacing w:line="720" w:lineRule="auto"/>
        <w:jc w:val="center"/>
        <w:rPr>
          <w:rFonts w:ascii="Arial" w:hAnsi="Arial" w:cs="Arial"/>
        </w:rPr>
      </w:pPr>
    </w:p>
    <w:p w14:paraId="5F94AD7F" w14:textId="65D0BB6C" w:rsidR="001F2DC0" w:rsidRDefault="001F2DC0" w:rsidP="001F2DC0">
      <w:pPr>
        <w:spacing w:line="720" w:lineRule="auto"/>
        <w:jc w:val="center"/>
        <w:rPr>
          <w:rFonts w:ascii="Arial" w:hAnsi="Arial" w:cs="Arial"/>
        </w:rPr>
      </w:pPr>
    </w:p>
    <w:p w14:paraId="13B319B8" w14:textId="58EE6881" w:rsidR="001F2DC0" w:rsidRDefault="001F2DC0" w:rsidP="001F2DC0">
      <w:pPr>
        <w:spacing w:line="720" w:lineRule="auto"/>
        <w:jc w:val="center"/>
        <w:rPr>
          <w:rFonts w:ascii="Arial" w:hAnsi="Arial" w:cs="Arial"/>
        </w:rPr>
      </w:pPr>
    </w:p>
    <w:p w14:paraId="4AE14912" w14:textId="77777777" w:rsidR="001F2DC0" w:rsidRPr="001F2DC0" w:rsidRDefault="001F2DC0" w:rsidP="001F2DC0">
      <w:pPr>
        <w:jc w:val="both"/>
        <w:rPr>
          <w:rFonts w:ascii="Arial" w:hAnsi="Arial" w:cs="Arial"/>
        </w:rPr>
      </w:pPr>
      <w:r w:rsidRPr="001F2DC0">
        <w:rPr>
          <w:rFonts w:ascii="Arial" w:hAnsi="Arial" w:cs="Arial"/>
        </w:rPr>
        <w:lastRenderedPageBreak/>
        <w:t>¿COMÓ DEBE ESTAR CONSTITUIDO UN SERVICIO DE URGENCIAS PEDIÁTRICAS?</w:t>
      </w:r>
    </w:p>
    <w:p w14:paraId="3FBD0A56" w14:textId="77777777" w:rsidR="001F2DC0" w:rsidRPr="001F2DC0" w:rsidRDefault="001F2DC0" w:rsidP="001F2DC0">
      <w:pPr>
        <w:rPr>
          <w:rFonts w:ascii="Times New Roman" w:eastAsia="Times New Roman" w:hAnsi="Times New Roman" w:cs="Times New Roman"/>
          <w:lang w:eastAsia="es-ES_tradnl"/>
        </w:rPr>
      </w:pPr>
    </w:p>
    <w:p w14:paraId="2531DC12" w14:textId="6036A94D" w:rsidR="001F2DC0" w:rsidRDefault="001F2DC0" w:rsidP="009704D2">
      <w:pPr>
        <w:jc w:val="both"/>
        <w:rPr>
          <w:rFonts w:ascii="Arial" w:hAnsi="Arial" w:cs="Arial"/>
        </w:rPr>
      </w:pPr>
      <w:r w:rsidRPr="009704D2">
        <w:rPr>
          <w:rFonts w:ascii="Arial" w:hAnsi="Arial" w:cs="Arial"/>
        </w:rPr>
        <w:t>El triaje constituye la puerta de entrada al sistema sanitario a través de los servicios de Urgencias hospitalarios (SUH). Es un proceso fundamental e imprescindible para el correcto funcionamiento de los mismos, ya que permite la clasificación de los pacientes en diferentes niveles de urgencia y la priorización de su asistencia de una forma segura y eficiente</w:t>
      </w:r>
    </w:p>
    <w:p w14:paraId="2C09D7F3" w14:textId="77777777" w:rsidR="009704D2" w:rsidRPr="009704D2" w:rsidRDefault="009704D2" w:rsidP="009704D2">
      <w:pPr>
        <w:jc w:val="both"/>
        <w:rPr>
          <w:rFonts w:ascii="Arial" w:hAnsi="Arial" w:cs="Arial"/>
        </w:rPr>
      </w:pPr>
    </w:p>
    <w:p w14:paraId="4D2C13B3" w14:textId="104B3343" w:rsidR="001F2DC0" w:rsidRDefault="009704D2" w:rsidP="009704D2">
      <w:pPr>
        <w:jc w:val="both"/>
        <w:rPr>
          <w:rFonts w:ascii="Arial" w:hAnsi="Arial" w:cs="Arial"/>
        </w:rPr>
      </w:pPr>
      <w:r w:rsidRPr="009704D2">
        <w:rPr>
          <w:rFonts w:ascii="Arial" w:hAnsi="Arial" w:cs="Arial"/>
        </w:rPr>
        <w:t>Triaje de urgencias: proceso de valoración clínica preliminar, antes de la valoración diagnóstica y terapéutica completa, que permite conocer el grado de urgencia de cada paciente. Según la Organización Mundial de la Salud (OMS), urgencia se puede definir como la aparición fortuita en cualquier lugar o actividad de un problema de causa diversa y gravedad variable, que genera la consciencia de una necesidad inminente de atención por parte del sujeto que lo sufre o de su familia</w:t>
      </w:r>
    </w:p>
    <w:p w14:paraId="2FFA5D65" w14:textId="77777777" w:rsidR="009704D2" w:rsidRDefault="009704D2" w:rsidP="009704D2">
      <w:pPr>
        <w:jc w:val="both"/>
        <w:rPr>
          <w:rFonts w:ascii="Arial" w:hAnsi="Arial" w:cs="Arial"/>
        </w:rPr>
      </w:pPr>
    </w:p>
    <w:p w14:paraId="1B3EE267" w14:textId="4F186E9C" w:rsidR="009704D2" w:rsidRDefault="009704D2" w:rsidP="009704D2">
      <w:pPr>
        <w:jc w:val="both"/>
        <w:rPr>
          <w:rFonts w:ascii="Arial" w:hAnsi="Arial" w:cs="Arial"/>
        </w:rPr>
      </w:pPr>
      <w:r w:rsidRPr="009704D2">
        <w:rPr>
          <w:rFonts w:ascii="Arial" w:hAnsi="Arial" w:cs="Arial"/>
        </w:rPr>
        <w:t>Triaje estructurado: utilización de una escala de triaje válida, útil y reproducible enmarcada en una estructura física, profesional, tecnológica y organizativa que permita valorar el grado de urgencia de los pacientes, según un modelo de calidad evaluable y continuamente mejorable.</w:t>
      </w:r>
    </w:p>
    <w:p w14:paraId="77582B1D" w14:textId="77777777" w:rsidR="009704D2" w:rsidRPr="009704D2" w:rsidRDefault="009704D2" w:rsidP="009704D2">
      <w:pPr>
        <w:jc w:val="both"/>
        <w:rPr>
          <w:rFonts w:ascii="Arial" w:hAnsi="Arial" w:cs="Arial"/>
        </w:rPr>
      </w:pPr>
    </w:p>
    <w:p w14:paraId="0984561B" w14:textId="370BED71" w:rsidR="009704D2" w:rsidRDefault="009704D2" w:rsidP="001F2DC0">
      <w:pPr>
        <w:spacing w:line="720" w:lineRule="auto"/>
        <w:jc w:val="center"/>
        <w:rPr>
          <w:rFonts w:ascii="Arial" w:hAnsi="Arial" w:cs="Arial"/>
        </w:rPr>
      </w:pPr>
      <w:r>
        <w:rPr>
          <w:rFonts w:ascii="Arial" w:hAnsi="Arial" w:cs="Arial"/>
        </w:rPr>
        <w:t xml:space="preserve">Los objetivo del triaje </w:t>
      </w:r>
    </w:p>
    <w:p w14:paraId="4C17B2FF" w14:textId="4FE6EEC8" w:rsidR="009704D2" w:rsidRPr="009704D2" w:rsidRDefault="009704D2" w:rsidP="009704D2">
      <w:pPr>
        <w:pStyle w:val="Prrafodelista"/>
        <w:numPr>
          <w:ilvl w:val="0"/>
          <w:numId w:val="2"/>
        </w:numPr>
        <w:spacing w:line="360" w:lineRule="auto"/>
        <w:jc w:val="both"/>
        <w:rPr>
          <w:rFonts w:ascii="Arial" w:hAnsi="Arial" w:cs="Arial"/>
        </w:rPr>
      </w:pPr>
      <w:r w:rsidRPr="009704D2">
        <w:rPr>
          <w:rFonts w:ascii="Arial" w:hAnsi="Arial" w:cs="Arial"/>
        </w:rPr>
        <w:t xml:space="preserve">Principal: que los pacientes más urgentes sean atendidos antes. </w:t>
      </w:r>
    </w:p>
    <w:p w14:paraId="1ADD19D5" w14:textId="15B9B001" w:rsidR="009704D2" w:rsidRPr="009704D2" w:rsidRDefault="009704D2" w:rsidP="009704D2">
      <w:pPr>
        <w:pStyle w:val="Prrafodelista"/>
        <w:numPr>
          <w:ilvl w:val="0"/>
          <w:numId w:val="2"/>
        </w:numPr>
        <w:spacing w:line="360" w:lineRule="auto"/>
        <w:jc w:val="both"/>
        <w:rPr>
          <w:rFonts w:ascii="Arial" w:hAnsi="Arial" w:cs="Arial"/>
        </w:rPr>
      </w:pPr>
      <w:r w:rsidRPr="009704D2">
        <w:rPr>
          <w:rFonts w:ascii="Arial" w:hAnsi="Arial" w:cs="Arial"/>
        </w:rPr>
        <w:t>Permitir la priorización en función del nivel de clasificación, acorde con la urgencia de la condición clínica del paciente.</w:t>
      </w:r>
    </w:p>
    <w:p w14:paraId="57B21ED2" w14:textId="0380E16E" w:rsidR="009704D2" w:rsidRDefault="009704D2" w:rsidP="009704D2">
      <w:pPr>
        <w:pStyle w:val="Prrafodelista"/>
        <w:numPr>
          <w:ilvl w:val="0"/>
          <w:numId w:val="2"/>
        </w:numPr>
        <w:spacing w:line="360" w:lineRule="auto"/>
        <w:jc w:val="both"/>
        <w:rPr>
          <w:rFonts w:ascii="Arial" w:hAnsi="Arial" w:cs="Arial"/>
        </w:rPr>
      </w:pPr>
      <w:r w:rsidRPr="009704D2">
        <w:rPr>
          <w:rFonts w:ascii="Arial" w:hAnsi="Arial" w:cs="Arial"/>
        </w:rPr>
        <w:t>Asegurar la reevaluación periódica de los pacientes que no presentan condiciones de riesgo vital.</w:t>
      </w:r>
    </w:p>
    <w:p w14:paraId="0C23A4C9" w14:textId="77777777" w:rsidR="00542408" w:rsidRPr="00542408" w:rsidRDefault="00542408" w:rsidP="00542408">
      <w:pPr>
        <w:pStyle w:val="Prrafodelista"/>
        <w:numPr>
          <w:ilvl w:val="0"/>
          <w:numId w:val="2"/>
        </w:numPr>
        <w:spacing w:line="360" w:lineRule="auto"/>
        <w:jc w:val="both"/>
        <w:rPr>
          <w:rFonts w:ascii="Arial" w:hAnsi="Arial" w:cs="Arial"/>
        </w:rPr>
      </w:pPr>
      <w:r w:rsidRPr="00542408">
        <w:rPr>
          <w:rFonts w:ascii="Arial" w:hAnsi="Arial" w:cs="Arial"/>
        </w:rPr>
        <w:t xml:space="preserve">Determinar el área más adecuada para tratar a cada paciente. </w:t>
      </w:r>
    </w:p>
    <w:p w14:paraId="2063C014" w14:textId="08D8A897" w:rsidR="00542408" w:rsidRPr="00542408" w:rsidRDefault="00542408" w:rsidP="00542408">
      <w:pPr>
        <w:pStyle w:val="Prrafodelista"/>
        <w:numPr>
          <w:ilvl w:val="0"/>
          <w:numId w:val="2"/>
        </w:numPr>
        <w:spacing w:line="360" w:lineRule="auto"/>
        <w:jc w:val="both"/>
        <w:rPr>
          <w:rFonts w:ascii="Arial" w:hAnsi="Arial" w:cs="Arial"/>
        </w:rPr>
      </w:pPr>
      <w:r w:rsidRPr="00542408">
        <w:rPr>
          <w:rFonts w:ascii="Arial" w:hAnsi="Arial" w:cs="Arial"/>
        </w:rPr>
        <w:t xml:space="preserve">Informar al paciente y su familia sobre el tipo de servicio que necesita y las perspectivas de espera probables. </w:t>
      </w:r>
    </w:p>
    <w:p w14:paraId="6E434AF4" w14:textId="77777777" w:rsidR="00542408" w:rsidRPr="00542408" w:rsidRDefault="00542408" w:rsidP="00542408">
      <w:pPr>
        <w:pStyle w:val="Prrafodelista"/>
        <w:numPr>
          <w:ilvl w:val="0"/>
          <w:numId w:val="2"/>
        </w:numPr>
        <w:spacing w:line="360" w:lineRule="auto"/>
        <w:jc w:val="both"/>
        <w:rPr>
          <w:rFonts w:ascii="Arial" w:hAnsi="Arial" w:cs="Arial"/>
        </w:rPr>
      </w:pPr>
      <w:r w:rsidRPr="00542408">
        <w:rPr>
          <w:rFonts w:ascii="Arial" w:hAnsi="Arial" w:cs="Arial"/>
        </w:rPr>
        <w:t xml:space="preserve">Disminuir la congestión del servicio, mejorando el flujo de pacientes y controlando las salas y los tiempos de espera. </w:t>
      </w:r>
    </w:p>
    <w:p w14:paraId="09C8F2AB" w14:textId="3A050951" w:rsidR="00542408" w:rsidRPr="00542408" w:rsidRDefault="00542408" w:rsidP="00542408">
      <w:pPr>
        <w:pStyle w:val="Prrafodelista"/>
        <w:numPr>
          <w:ilvl w:val="0"/>
          <w:numId w:val="2"/>
        </w:numPr>
        <w:spacing w:line="360" w:lineRule="auto"/>
        <w:jc w:val="both"/>
        <w:rPr>
          <w:rFonts w:ascii="Arial" w:hAnsi="Arial" w:cs="Arial"/>
        </w:rPr>
      </w:pPr>
      <w:r w:rsidRPr="00542408">
        <w:rPr>
          <w:rFonts w:ascii="Arial" w:hAnsi="Arial" w:cs="Arial"/>
        </w:rPr>
        <w:t>Desde el punto de vista de la gestión y calidad: proporcionar a los profesionales información que ayude a definir y monitorizar la complejidad del servicio, facilitando así una gestión más eficiente de los recursos</w:t>
      </w:r>
    </w:p>
    <w:p w14:paraId="1ACAA812" w14:textId="77777777" w:rsidR="00542408" w:rsidRDefault="00542408" w:rsidP="00542408">
      <w:pPr>
        <w:pStyle w:val="Prrafodelista"/>
        <w:rPr>
          <w:rFonts w:ascii="Times New Roman" w:eastAsia="Times New Roman" w:hAnsi="Times New Roman" w:cs="Times New Roman"/>
          <w:lang w:eastAsia="es-ES_tradnl"/>
        </w:rPr>
      </w:pPr>
    </w:p>
    <w:p w14:paraId="38FD94F8" w14:textId="77777777" w:rsidR="00542408" w:rsidRDefault="00542408" w:rsidP="00542408">
      <w:pPr>
        <w:pStyle w:val="Prrafodelista"/>
        <w:rPr>
          <w:rFonts w:ascii="Times New Roman" w:eastAsia="Times New Roman" w:hAnsi="Times New Roman" w:cs="Times New Roman"/>
          <w:lang w:eastAsia="es-ES_tradnl"/>
        </w:rPr>
      </w:pPr>
    </w:p>
    <w:p w14:paraId="6B9ED62A" w14:textId="76B6BB1E" w:rsidR="00542408" w:rsidRPr="007E381C" w:rsidRDefault="00542408" w:rsidP="007E381C">
      <w:pPr>
        <w:spacing w:line="360" w:lineRule="auto"/>
        <w:jc w:val="both"/>
        <w:rPr>
          <w:rFonts w:ascii="Arial" w:hAnsi="Arial" w:cs="Arial"/>
        </w:rPr>
      </w:pPr>
      <w:r w:rsidRPr="007E381C">
        <w:rPr>
          <w:rFonts w:ascii="Arial" w:hAnsi="Arial" w:cs="Arial"/>
        </w:rPr>
        <w:lastRenderedPageBreak/>
        <w:t>Aunque existan diferencias en sus algoritmos, en los discriminantes clínicos y en la filosofía de aplicación, las 5 escalas mencionadas coinciden de forma conceptual en la definición de sus 5 niveles</w:t>
      </w:r>
    </w:p>
    <w:p w14:paraId="5B3560E9" w14:textId="77777777" w:rsidR="007E381C" w:rsidRPr="007E381C" w:rsidRDefault="007E381C" w:rsidP="007E381C">
      <w:pPr>
        <w:spacing w:line="360" w:lineRule="auto"/>
        <w:jc w:val="both"/>
        <w:rPr>
          <w:rFonts w:ascii="Arial" w:hAnsi="Arial" w:cs="Arial"/>
        </w:rPr>
      </w:pPr>
    </w:p>
    <w:p w14:paraId="38C55514" w14:textId="7D79F84F" w:rsidR="007E381C" w:rsidRPr="007E381C" w:rsidRDefault="007E381C" w:rsidP="007E381C">
      <w:pPr>
        <w:pStyle w:val="Prrafodelista"/>
        <w:numPr>
          <w:ilvl w:val="0"/>
          <w:numId w:val="3"/>
        </w:numPr>
        <w:spacing w:line="360" w:lineRule="auto"/>
        <w:jc w:val="both"/>
        <w:rPr>
          <w:rFonts w:ascii="Arial" w:hAnsi="Arial" w:cs="Arial"/>
        </w:rPr>
      </w:pPr>
      <w:r w:rsidRPr="007E381C">
        <w:rPr>
          <w:rFonts w:ascii="Arial" w:hAnsi="Arial" w:cs="Arial"/>
        </w:rPr>
        <w:t>Resucitación</w:t>
      </w:r>
      <w:r w:rsidRPr="007E381C">
        <w:rPr>
          <w:rFonts w:ascii="Arial" w:hAnsi="Arial" w:cs="Arial"/>
        </w:rPr>
        <w:t>:</w:t>
      </w:r>
      <w:r w:rsidRPr="007E381C">
        <w:rPr>
          <w:rFonts w:ascii="Arial" w:hAnsi="Arial" w:cs="Arial"/>
        </w:rPr>
        <w:t xml:space="preserve"> Situaciones con riesgo vital inmediato (intervenciones agresivas inmediatas)</w:t>
      </w:r>
    </w:p>
    <w:p w14:paraId="0B3CC8FD" w14:textId="6030B91D" w:rsidR="007E381C" w:rsidRPr="007E381C" w:rsidRDefault="007E381C" w:rsidP="007E381C">
      <w:pPr>
        <w:pStyle w:val="Prrafodelista"/>
        <w:numPr>
          <w:ilvl w:val="0"/>
          <w:numId w:val="3"/>
        </w:numPr>
        <w:spacing w:line="360" w:lineRule="auto"/>
        <w:jc w:val="both"/>
        <w:rPr>
          <w:rFonts w:ascii="Arial" w:eastAsia="Times New Roman" w:hAnsi="Arial" w:cs="Arial"/>
          <w:lang w:eastAsia="es-ES_tradnl"/>
        </w:rPr>
      </w:pPr>
      <w:r w:rsidRPr="007E381C">
        <w:rPr>
          <w:rFonts w:ascii="Arial" w:eastAsia="Times New Roman" w:hAnsi="Arial" w:cs="Arial"/>
          <w:lang w:eastAsia="es-ES_tradnl"/>
        </w:rPr>
        <w:t xml:space="preserve"> Emergencia, muy urgente</w:t>
      </w:r>
      <w:r w:rsidRPr="007E381C">
        <w:rPr>
          <w:rFonts w:ascii="Arial" w:eastAsia="Times New Roman" w:hAnsi="Arial" w:cs="Arial"/>
          <w:lang w:eastAsia="es-ES_tradnl"/>
        </w:rPr>
        <w:t>:</w:t>
      </w:r>
      <w:r w:rsidRPr="007E381C">
        <w:rPr>
          <w:rFonts w:ascii="Arial" w:eastAsia="Times New Roman" w:hAnsi="Arial" w:cs="Arial"/>
          <w:lang w:eastAsia="es-ES_tradnl"/>
        </w:rPr>
        <w:t xml:space="preserve"> Alto riesgo vital; su resolución depende radicalmente del tiempo. Generalmente asocian inestabilidad fisiológica o dolor intenso</w:t>
      </w:r>
    </w:p>
    <w:p w14:paraId="23337EBE" w14:textId="19EB17FB" w:rsidR="007E381C" w:rsidRPr="007E381C" w:rsidRDefault="007E381C" w:rsidP="007E381C">
      <w:pPr>
        <w:pStyle w:val="Prrafodelista"/>
        <w:numPr>
          <w:ilvl w:val="0"/>
          <w:numId w:val="3"/>
        </w:numPr>
        <w:spacing w:line="360" w:lineRule="auto"/>
        <w:jc w:val="both"/>
        <w:rPr>
          <w:rFonts w:ascii="Arial" w:eastAsia="Times New Roman" w:hAnsi="Arial" w:cs="Arial"/>
          <w:lang w:eastAsia="es-ES_tradnl"/>
        </w:rPr>
      </w:pPr>
      <w:r w:rsidRPr="007E381C">
        <w:rPr>
          <w:rFonts w:ascii="Arial" w:eastAsia="Times New Roman" w:hAnsi="Arial" w:cs="Arial"/>
          <w:lang w:eastAsia="es-ES_tradnl"/>
        </w:rPr>
        <w:t>Urgente</w:t>
      </w:r>
      <w:r w:rsidRPr="007E381C">
        <w:rPr>
          <w:rFonts w:ascii="Arial" w:eastAsia="Times New Roman" w:hAnsi="Arial" w:cs="Arial"/>
          <w:lang w:eastAsia="es-ES_tradnl"/>
        </w:rPr>
        <w:t xml:space="preserve">: </w:t>
      </w:r>
      <w:r w:rsidRPr="007E381C">
        <w:rPr>
          <w:rFonts w:ascii="Arial" w:eastAsia="Times New Roman" w:hAnsi="Arial" w:cs="Arial"/>
          <w:lang w:eastAsia="es-ES_tradnl"/>
        </w:rPr>
        <w:t>Situaciones urgentes, riesgo vital potencial. Generalmente requieren múltiples exploraciones diagnósticas o actuaciones terapéuticas. Pacientes con estabilidad fisiológica (o discretamente inestable) en el momento de la valoración</w:t>
      </w:r>
    </w:p>
    <w:p w14:paraId="4434AC97" w14:textId="3F2547E4" w:rsidR="007E381C" w:rsidRPr="007E381C" w:rsidRDefault="007E381C" w:rsidP="007E381C">
      <w:pPr>
        <w:pStyle w:val="Prrafodelista"/>
        <w:numPr>
          <w:ilvl w:val="0"/>
          <w:numId w:val="3"/>
        </w:numPr>
        <w:spacing w:line="360" w:lineRule="auto"/>
        <w:jc w:val="both"/>
        <w:rPr>
          <w:rFonts w:ascii="Arial" w:eastAsia="Times New Roman" w:hAnsi="Arial" w:cs="Arial"/>
          <w:lang w:eastAsia="es-ES_tradnl"/>
        </w:rPr>
      </w:pPr>
      <w:r w:rsidRPr="007E381C">
        <w:rPr>
          <w:rFonts w:ascii="Arial" w:eastAsia="Times New Roman" w:hAnsi="Arial" w:cs="Arial"/>
          <w:lang w:eastAsia="es-ES_tradnl"/>
        </w:rPr>
        <w:t xml:space="preserve">Menos urgente, semiurgente, estándar </w:t>
      </w:r>
      <w:r w:rsidRPr="007E381C">
        <w:rPr>
          <w:rFonts w:ascii="Arial" w:eastAsia="Times New Roman" w:hAnsi="Arial" w:cs="Arial"/>
          <w:lang w:eastAsia="es-ES_tradnl"/>
        </w:rPr>
        <w:t xml:space="preserve">: </w:t>
      </w:r>
      <w:r w:rsidRPr="007E381C">
        <w:rPr>
          <w:rFonts w:ascii="Arial" w:eastAsia="Times New Roman" w:hAnsi="Arial" w:cs="Arial"/>
          <w:lang w:eastAsia="es-ES_tradnl"/>
        </w:rPr>
        <w:t>Poco urgentes. Pueden tener complejidad significativa y requerir alguna exploración diagnóstica o actuación terapéutica</w:t>
      </w:r>
    </w:p>
    <w:p w14:paraId="5ED22252" w14:textId="2E8E789E" w:rsidR="007E381C" w:rsidRPr="007E381C" w:rsidRDefault="007E381C" w:rsidP="007E381C">
      <w:pPr>
        <w:pStyle w:val="Prrafodelista"/>
        <w:numPr>
          <w:ilvl w:val="0"/>
          <w:numId w:val="3"/>
        </w:numPr>
        <w:spacing w:line="360" w:lineRule="auto"/>
        <w:jc w:val="both"/>
        <w:rPr>
          <w:rFonts w:ascii="Arial" w:eastAsia="Times New Roman" w:hAnsi="Arial" w:cs="Arial"/>
          <w:lang w:eastAsia="es-ES_tradnl"/>
        </w:rPr>
      </w:pPr>
      <w:r w:rsidRPr="007E381C">
        <w:rPr>
          <w:rFonts w:ascii="Arial" w:eastAsia="Times New Roman" w:hAnsi="Arial" w:cs="Arial"/>
          <w:lang w:eastAsia="es-ES_tradnl"/>
        </w:rPr>
        <w:t>No urgente</w:t>
      </w:r>
      <w:r w:rsidRPr="007E381C">
        <w:rPr>
          <w:rFonts w:ascii="Arial" w:eastAsia="Times New Roman" w:hAnsi="Arial" w:cs="Arial"/>
          <w:lang w:eastAsia="es-ES_tradnl"/>
        </w:rPr>
        <w:t xml:space="preserve">: </w:t>
      </w:r>
      <w:r w:rsidRPr="007E381C">
        <w:rPr>
          <w:rFonts w:ascii="Arial" w:eastAsia="Times New Roman" w:hAnsi="Arial" w:cs="Arial"/>
          <w:lang w:eastAsia="es-ES_tradnl"/>
        </w:rPr>
        <w:t>Problemas clínico-administrativos de baja complejidad (potencialmente enmarcables sin riesgo en un entorno de Atención Primaria)</w:t>
      </w:r>
    </w:p>
    <w:p w14:paraId="483A75FC" w14:textId="2AB61ECA" w:rsidR="007E381C" w:rsidRDefault="007E381C" w:rsidP="007E381C">
      <w:pPr>
        <w:pStyle w:val="Prrafodelista"/>
        <w:spacing w:line="360" w:lineRule="auto"/>
        <w:ind w:left="1080"/>
        <w:jc w:val="both"/>
        <w:rPr>
          <w:rFonts w:ascii="Arial" w:eastAsia="Times New Roman" w:hAnsi="Arial" w:cs="Arial"/>
          <w:lang w:eastAsia="es-ES_tradnl"/>
        </w:rPr>
      </w:pPr>
    </w:p>
    <w:p w14:paraId="27C7F99C" w14:textId="3DBFA16D" w:rsidR="007E381C" w:rsidRDefault="007E381C" w:rsidP="007E381C">
      <w:pPr>
        <w:pStyle w:val="Prrafodelista"/>
        <w:spacing w:line="360" w:lineRule="auto"/>
        <w:ind w:left="1080"/>
        <w:jc w:val="both"/>
        <w:rPr>
          <w:rFonts w:ascii="Arial" w:eastAsia="Times New Roman" w:hAnsi="Arial" w:cs="Arial"/>
          <w:lang w:eastAsia="es-ES_tradnl"/>
        </w:rPr>
      </w:pPr>
    </w:p>
    <w:p w14:paraId="72C346BF" w14:textId="70FE966D" w:rsidR="007E381C" w:rsidRDefault="007E381C">
      <w:pPr>
        <w:pStyle w:val="Ttulo1"/>
      </w:pPr>
      <w:hyperlink r:id="rId6" w:history="1">
        <w:r w:rsidRPr="007E381C">
          <w:rPr>
            <w:rStyle w:val="Hipervnculo"/>
            <w:lang w:val="es-ES"/>
          </w:rPr>
          <w:t>Bibliografía</w:t>
        </w:r>
      </w:hyperlink>
    </w:p>
    <w:p w14:paraId="0254D8A9" w14:textId="4C1D4C1E" w:rsidR="00542408" w:rsidRPr="00542408" w:rsidRDefault="007E381C" w:rsidP="007E381C">
      <w:pPr>
        <w:rPr>
          <w:rFonts w:ascii="Arial" w:hAnsi="Arial" w:cs="Arial"/>
        </w:rPr>
      </w:pPr>
      <w:sdt>
        <w:sdtPr>
          <w:id w:val="111145805"/>
          <w:showingPlcHdr/>
          <w:bibliography/>
        </w:sdtPr>
        <w:sdtContent>
          <w:r>
            <w:t xml:space="preserve">     </w:t>
          </w:r>
        </w:sdtContent>
      </w:sdt>
    </w:p>
    <w:p w14:paraId="5FA0C651" w14:textId="30C34598" w:rsidR="009704D2" w:rsidRPr="001F2DC0" w:rsidRDefault="007E381C" w:rsidP="001F2DC0">
      <w:pPr>
        <w:spacing w:line="720" w:lineRule="auto"/>
        <w:jc w:val="center"/>
        <w:rPr>
          <w:rFonts w:ascii="Arial" w:hAnsi="Arial" w:cs="Arial"/>
        </w:rPr>
      </w:pPr>
      <w:r w:rsidRPr="007E381C">
        <w:rPr>
          <w:rFonts w:ascii="Arial" w:hAnsi="Arial" w:cs="Arial"/>
        </w:rPr>
        <w:t>https://www.euskadi.eus/contenidos/informacion/cevime_infac_2017/es_def/adjuntos/INFAC%20vol%2025%20n_2_protocolos%20pediatr%C3%ADa.pdf</w:t>
      </w:r>
    </w:p>
    <w:sectPr w:rsidR="009704D2" w:rsidRPr="001F2DC0"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31ED9"/>
    <w:multiLevelType w:val="hybridMultilevel"/>
    <w:tmpl w:val="698EF3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B373AAC"/>
    <w:multiLevelType w:val="hybridMultilevel"/>
    <w:tmpl w:val="461C0EE2"/>
    <w:lvl w:ilvl="0" w:tplc="AF8AF4E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96223B5"/>
    <w:multiLevelType w:val="hybridMultilevel"/>
    <w:tmpl w:val="4D3E9A66"/>
    <w:lvl w:ilvl="0" w:tplc="B48042FC">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C0"/>
    <w:rsid w:val="00007054"/>
    <w:rsid w:val="001F2DC0"/>
    <w:rsid w:val="002A3538"/>
    <w:rsid w:val="00542408"/>
    <w:rsid w:val="007E381C"/>
    <w:rsid w:val="00970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EB5E"/>
  <w15:chartTrackingRefBased/>
  <w15:docId w15:val="{F243F21B-343F-1D4A-9AEE-8B0EB0F0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381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DC0"/>
  </w:style>
  <w:style w:type="paragraph" w:styleId="NormalWeb">
    <w:name w:val="Normal (Web)"/>
    <w:basedOn w:val="Normal"/>
    <w:uiPriority w:val="99"/>
    <w:semiHidden/>
    <w:unhideWhenUsed/>
    <w:rsid w:val="001F2DC0"/>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9704D2"/>
    <w:pPr>
      <w:ind w:left="720"/>
      <w:contextualSpacing/>
    </w:pPr>
  </w:style>
  <w:style w:type="character" w:customStyle="1" w:styleId="Ttulo1Car">
    <w:name w:val="Título 1 Car"/>
    <w:basedOn w:val="Fuentedeprrafopredeter"/>
    <w:link w:val="Ttulo1"/>
    <w:uiPriority w:val="9"/>
    <w:rsid w:val="007E381C"/>
    <w:rPr>
      <w:rFonts w:asciiTheme="majorHAnsi" w:eastAsiaTheme="majorEastAsia" w:hAnsiTheme="majorHAnsi" w:cstheme="majorBidi"/>
      <w:b/>
      <w:bCs/>
      <w:color w:val="2F5496" w:themeColor="accent1" w:themeShade="BF"/>
      <w:sz w:val="28"/>
      <w:szCs w:val="28"/>
      <w:lang w:eastAsia="es-ES_tradnl"/>
    </w:rPr>
  </w:style>
  <w:style w:type="character" w:styleId="Hipervnculo">
    <w:name w:val="Hyperlink"/>
    <w:basedOn w:val="Fuentedeprrafopredeter"/>
    <w:uiPriority w:val="99"/>
    <w:unhideWhenUsed/>
    <w:rsid w:val="007E381C"/>
    <w:rPr>
      <w:color w:val="0563C1" w:themeColor="hyperlink"/>
      <w:u w:val="single"/>
    </w:rPr>
  </w:style>
  <w:style w:type="character" w:styleId="Mencinsinresolver">
    <w:name w:val="Unresolved Mention"/>
    <w:basedOn w:val="Fuentedeprrafopredeter"/>
    <w:uiPriority w:val="99"/>
    <w:semiHidden/>
    <w:unhideWhenUsed/>
    <w:rsid w:val="007E3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746">
      <w:bodyDiv w:val="1"/>
      <w:marLeft w:val="0"/>
      <w:marRight w:val="0"/>
      <w:marTop w:val="0"/>
      <w:marBottom w:val="0"/>
      <w:divBdr>
        <w:top w:val="none" w:sz="0" w:space="0" w:color="auto"/>
        <w:left w:val="none" w:sz="0" w:space="0" w:color="auto"/>
        <w:bottom w:val="none" w:sz="0" w:space="0" w:color="auto"/>
        <w:right w:val="none" w:sz="0" w:space="0" w:color="auto"/>
      </w:divBdr>
    </w:div>
    <w:div w:id="100955353">
      <w:bodyDiv w:val="1"/>
      <w:marLeft w:val="0"/>
      <w:marRight w:val="0"/>
      <w:marTop w:val="0"/>
      <w:marBottom w:val="0"/>
      <w:divBdr>
        <w:top w:val="none" w:sz="0" w:space="0" w:color="auto"/>
        <w:left w:val="none" w:sz="0" w:space="0" w:color="auto"/>
        <w:bottom w:val="none" w:sz="0" w:space="0" w:color="auto"/>
        <w:right w:val="none" w:sz="0" w:space="0" w:color="auto"/>
      </w:divBdr>
    </w:div>
    <w:div w:id="391462942">
      <w:bodyDiv w:val="1"/>
      <w:marLeft w:val="0"/>
      <w:marRight w:val="0"/>
      <w:marTop w:val="0"/>
      <w:marBottom w:val="0"/>
      <w:divBdr>
        <w:top w:val="none" w:sz="0" w:space="0" w:color="auto"/>
        <w:left w:val="none" w:sz="0" w:space="0" w:color="auto"/>
        <w:bottom w:val="none" w:sz="0" w:space="0" w:color="auto"/>
        <w:right w:val="none" w:sz="0" w:space="0" w:color="auto"/>
      </w:divBdr>
    </w:div>
    <w:div w:id="479152853">
      <w:bodyDiv w:val="1"/>
      <w:marLeft w:val="0"/>
      <w:marRight w:val="0"/>
      <w:marTop w:val="0"/>
      <w:marBottom w:val="0"/>
      <w:divBdr>
        <w:top w:val="none" w:sz="0" w:space="0" w:color="auto"/>
        <w:left w:val="none" w:sz="0" w:space="0" w:color="auto"/>
        <w:bottom w:val="none" w:sz="0" w:space="0" w:color="auto"/>
        <w:right w:val="none" w:sz="0" w:space="0" w:color="auto"/>
      </w:divBdr>
    </w:div>
    <w:div w:id="621955944">
      <w:bodyDiv w:val="1"/>
      <w:marLeft w:val="0"/>
      <w:marRight w:val="0"/>
      <w:marTop w:val="0"/>
      <w:marBottom w:val="0"/>
      <w:divBdr>
        <w:top w:val="none" w:sz="0" w:space="0" w:color="auto"/>
        <w:left w:val="none" w:sz="0" w:space="0" w:color="auto"/>
        <w:bottom w:val="none" w:sz="0" w:space="0" w:color="auto"/>
        <w:right w:val="none" w:sz="0" w:space="0" w:color="auto"/>
      </w:divBdr>
    </w:div>
    <w:div w:id="871458508">
      <w:bodyDiv w:val="1"/>
      <w:marLeft w:val="0"/>
      <w:marRight w:val="0"/>
      <w:marTop w:val="0"/>
      <w:marBottom w:val="0"/>
      <w:divBdr>
        <w:top w:val="none" w:sz="0" w:space="0" w:color="auto"/>
        <w:left w:val="none" w:sz="0" w:space="0" w:color="auto"/>
        <w:bottom w:val="none" w:sz="0" w:space="0" w:color="auto"/>
        <w:right w:val="none" w:sz="0" w:space="0" w:color="auto"/>
      </w:divBdr>
    </w:div>
    <w:div w:id="1072897633">
      <w:bodyDiv w:val="1"/>
      <w:marLeft w:val="0"/>
      <w:marRight w:val="0"/>
      <w:marTop w:val="0"/>
      <w:marBottom w:val="0"/>
      <w:divBdr>
        <w:top w:val="none" w:sz="0" w:space="0" w:color="auto"/>
        <w:left w:val="none" w:sz="0" w:space="0" w:color="auto"/>
        <w:bottom w:val="none" w:sz="0" w:space="0" w:color="auto"/>
        <w:right w:val="none" w:sz="0" w:space="0" w:color="auto"/>
      </w:divBdr>
    </w:div>
    <w:div w:id="1451314896">
      <w:bodyDiv w:val="1"/>
      <w:marLeft w:val="0"/>
      <w:marRight w:val="0"/>
      <w:marTop w:val="0"/>
      <w:marBottom w:val="0"/>
      <w:divBdr>
        <w:top w:val="none" w:sz="0" w:space="0" w:color="auto"/>
        <w:left w:val="none" w:sz="0" w:space="0" w:color="auto"/>
        <w:bottom w:val="none" w:sz="0" w:space="0" w:color="auto"/>
        <w:right w:val="none" w:sz="0" w:space="0" w:color="auto"/>
      </w:divBdr>
    </w:div>
    <w:div w:id="1819225838">
      <w:bodyDiv w:val="1"/>
      <w:marLeft w:val="0"/>
      <w:marRight w:val="0"/>
      <w:marTop w:val="0"/>
      <w:marBottom w:val="0"/>
      <w:divBdr>
        <w:top w:val="none" w:sz="0" w:space="0" w:color="auto"/>
        <w:left w:val="none" w:sz="0" w:space="0" w:color="auto"/>
        <w:bottom w:val="none" w:sz="0" w:space="0" w:color="auto"/>
        <w:right w:val="none" w:sz="0" w:space="0" w:color="auto"/>
      </w:divBdr>
    </w:div>
    <w:div w:id="1831410041">
      <w:bodyDiv w:val="1"/>
      <w:marLeft w:val="0"/>
      <w:marRight w:val="0"/>
      <w:marTop w:val="0"/>
      <w:marBottom w:val="0"/>
      <w:divBdr>
        <w:top w:val="none" w:sz="0" w:space="0" w:color="auto"/>
        <w:left w:val="none" w:sz="0" w:space="0" w:color="auto"/>
        <w:bottom w:val="none" w:sz="0" w:space="0" w:color="auto"/>
        <w:right w:val="none" w:sz="0" w:space="0" w:color="auto"/>
      </w:divBdr>
    </w:div>
    <w:div w:id="1935622462">
      <w:bodyDiv w:val="1"/>
      <w:marLeft w:val="0"/>
      <w:marRight w:val="0"/>
      <w:marTop w:val="0"/>
      <w:marBottom w:val="0"/>
      <w:divBdr>
        <w:top w:val="none" w:sz="0" w:space="0" w:color="auto"/>
        <w:left w:val="none" w:sz="0" w:space="0" w:color="auto"/>
        <w:bottom w:val="none" w:sz="0" w:space="0" w:color="auto"/>
        <w:right w:val="none" w:sz="0" w:space="0" w:color="auto"/>
      </w:divBdr>
    </w:div>
    <w:div w:id="194885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uskadi.eus/contenidos/informacion/cevime_infac_2017/es_def/adjuntos/INFAC%20vol%2025%20n_2_protocolos%20pediatr%C3%AD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6DB7-9A0E-C24C-8ACC-B17A1449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530</Words>
  <Characters>2918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cp:lastPrinted>2022-02-19T16:49:00Z</cp:lastPrinted>
  <dcterms:created xsi:type="dcterms:W3CDTF">2022-02-19T16:17:00Z</dcterms:created>
  <dcterms:modified xsi:type="dcterms:W3CDTF">2022-02-19T16:50:00Z</dcterms:modified>
</cp:coreProperties>
</file>