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9E2E" w14:textId="77777777" w:rsidR="00912A30" w:rsidRDefault="00912A30" w:rsidP="00912A30">
      <w:pPr>
        <w:jc w:val="center"/>
        <w:rPr>
          <w:rFonts w:ascii="Arial" w:hAnsi="Arial" w:cs="Arial"/>
          <w:sz w:val="28"/>
          <w:szCs w:val="28"/>
        </w:rPr>
      </w:pPr>
      <w:r w:rsidRPr="00BF0222">
        <w:rPr>
          <w:rFonts w:ascii="Arial" w:hAnsi="Arial" w:cs="Arial"/>
          <w:noProof/>
          <w:sz w:val="28"/>
          <w:szCs w:val="28"/>
        </w:rPr>
        <w:drawing>
          <wp:inline distT="0" distB="0" distL="0" distR="0" wp14:anchorId="56BA560F" wp14:editId="458460CE">
            <wp:extent cx="2162175" cy="1847850"/>
            <wp:effectExtent l="0" t="0" r="9525" b="0"/>
            <wp:docPr id="1026" name="Imagen 1">
              <a:extLst xmlns:a="http://schemas.openxmlformats.org/drawingml/2006/main">
                <a:ext uri="{FF2B5EF4-FFF2-40B4-BE49-F238E27FC236}">
                  <a16:creationId xmlns:a16="http://schemas.microsoft.com/office/drawing/2014/main" id="{05591EE1-1EBB-4477-B51A-12C62481C3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1">
                      <a:extLst>
                        <a:ext uri="{FF2B5EF4-FFF2-40B4-BE49-F238E27FC236}">
                          <a16:creationId xmlns:a16="http://schemas.microsoft.com/office/drawing/2014/main" id="{05591EE1-1EBB-4477-B51A-12C62481C38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Arial" w:hAnsi="Arial" w:cs="Arial"/>
          <w:sz w:val="28"/>
          <w:szCs w:val="28"/>
        </w:rPr>
        <w:t xml:space="preserve">                                                                          </w:t>
      </w:r>
      <w:r w:rsidRPr="00BF0222">
        <w:rPr>
          <w:rFonts w:ascii="Arial" w:hAnsi="Arial" w:cs="Arial"/>
          <w:noProof/>
          <w:sz w:val="28"/>
          <w:szCs w:val="28"/>
        </w:rPr>
        <w:drawing>
          <wp:inline distT="0" distB="0" distL="0" distR="0" wp14:anchorId="02829322" wp14:editId="66534016">
            <wp:extent cx="2152650" cy="1847850"/>
            <wp:effectExtent l="0" t="0" r="0" b="0"/>
            <wp:docPr id="1025" name="Imagen 2">
              <a:extLst xmlns:a="http://schemas.openxmlformats.org/drawingml/2006/main">
                <a:ext uri="{FF2B5EF4-FFF2-40B4-BE49-F238E27FC236}">
                  <a16:creationId xmlns:a16="http://schemas.microsoft.com/office/drawing/2014/main" id="{D26A5B46-4C2E-4956-BFA8-F5E248620D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2">
                      <a:extLst>
                        <a:ext uri="{FF2B5EF4-FFF2-40B4-BE49-F238E27FC236}">
                          <a16:creationId xmlns:a16="http://schemas.microsoft.com/office/drawing/2014/main" id="{D26A5B46-4C2E-4956-BFA8-F5E248620D7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2A1C88"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DOCENTE:</w:t>
      </w:r>
    </w:p>
    <w:p w14:paraId="329574BC"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 xml:space="preserve">DR. JOSE MIGUEL CULEBRO </w:t>
      </w:r>
    </w:p>
    <w:p w14:paraId="2AAC1648"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 xml:space="preserve"> </w:t>
      </w:r>
    </w:p>
    <w:p w14:paraId="26DF94A9"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ALUMNO:</w:t>
      </w:r>
    </w:p>
    <w:p w14:paraId="6A56DC54"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JONATHAN SURIANO CRUZ.</w:t>
      </w:r>
    </w:p>
    <w:p w14:paraId="214F608E" w14:textId="77777777" w:rsidR="00912A30" w:rsidRPr="00BF0222" w:rsidRDefault="00912A30" w:rsidP="00912A30">
      <w:pPr>
        <w:jc w:val="center"/>
        <w:rPr>
          <w:rFonts w:ascii="Arial" w:hAnsi="Arial" w:cs="Arial"/>
          <w:sz w:val="28"/>
          <w:szCs w:val="28"/>
        </w:rPr>
      </w:pPr>
    </w:p>
    <w:p w14:paraId="7D37D97C"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MATERIA:</w:t>
      </w:r>
    </w:p>
    <w:p w14:paraId="629F6933"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 xml:space="preserve">CRECIMIENTO Y DESARROLLO BIOLOGICO </w:t>
      </w:r>
    </w:p>
    <w:p w14:paraId="1893ACCF" w14:textId="77777777" w:rsidR="00912A30" w:rsidRPr="00BF0222" w:rsidRDefault="00912A30" w:rsidP="00912A30">
      <w:pPr>
        <w:jc w:val="center"/>
        <w:rPr>
          <w:rFonts w:ascii="Arial" w:hAnsi="Arial" w:cs="Arial"/>
          <w:sz w:val="28"/>
          <w:szCs w:val="28"/>
        </w:rPr>
      </w:pPr>
    </w:p>
    <w:p w14:paraId="74594E86" w14:textId="77777777" w:rsidR="00912A30" w:rsidRPr="00BF0222" w:rsidRDefault="00912A30" w:rsidP="00912A30">
      <w:pPr>
        <w:jc w:val="center"/>
        <w:rPr>
          <w:rFonts w:ascii="Arial" w:hAnsi="Arial" w:cs="Arial"/>
          <w:sz w:val="28"/>
          <w:szCs w:val="28"/>
        </w:rPr>
      </w:pPr>
      <w:r w:rsidRPr="00BF0222">
        <w:rPr>
          <w:rFonts w:ascii="Arial" w:hAnsi="Arial" w:cs="Arial"/>
          <w:sz w:val="28"/>
          <w:szCs w:val="28"/>
        </w:rPr>
        <w:t>TEMA:</w:t>
      </w:r>
    </w:p>
    <w:p w14:paraId="212655E7" w14:textId="77777777" w:rsidR="00912A30" w:rsidRDefault="00912A30" w:rsidP="00912A30">
      <w:pPr>
        <w:jc w:val="center"/>
        <w:rPr>
          <w:rFonts w:ascii="Arial" w:hAnsi="Arial" w:cs="Arial"/>
          <w:sz w:val="28"/>
          <w:szCs w:val="28"/>
        </w:rPr>
      </w:pPr>
      <w:r w:rsidRPr="00BF0222">
        <w:rPr>
          <w:rFonts w:ascii="Arial" w:hAnsi="Arial" w:cs="Arial"/>
          <w:sz w:val="28"/>
          <w:szCs w:val="28"/>
        </w:rPr>
        <w:t xml:space="preserve">CUADRO COMPARATIVO </w:t>
      </w:r>
    </w:p>
    <w:tbl>
      <w:tblPr>
        <w:tblStyle w:val="Tablaconcuadrcula4-nfasis5"/>
        <w:tblW w:w="0" w:type="auto"/>
        <w:tblLook w:val="04A0" w:firstRow="1" w:lastRow="0" w:firstColumn="1" w:lastColumn="0" w:noHBand="0" w:noVBand="1"/>
      </w:tblPr>
      <w:tblGrid>
        <w:gridCol w:w="4332"/>
        <w:gridCol w:w="4332"/>
        <w:gridCol w:w="4332"/>
      </w:tblGrid>
      <w:tr w:rsidR="00912A30" w14:paraId="32182105" w14:textId="77777777" w:rsidTr="00406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107A1595" w14:textId="4B1729EC" w:rsidR="00912A30" w:rsidRPr="00912A30" w:rsidRDefault="0040630C" w:rsidP="00912A30">
            <w:pPr>
              <w:jc w:val="center"/>
              <w:rPr>
                <w:rFonts w:ascii="Arial" w:hAnsi="Arial" w:cs="Arial"/>
                <w:sz w:val="20"/>
                <w:szCs w:val="20"/>
              </w:rPr>
            </w:pPr>
            <w:r w:rsidRPr="0040630C">
              <w:rPr>
                <w:rFonts w:ascii="Arial" w:hAnsi="Arial" w:cs="Arial"/>
                <w:sz w:val="20"/>
                <w:szCs w:val="20"/>
              </w:rPr>
              <w:lastRenderedPageBreak/>
              <w:t>CLAMIDIA</w:t>
            </w:r>
          </w:p>
        </w:tc>
        <w:tc>
          <w:tcPr>
            <w:tcW w:w="4332" w:type="dxa"/>
          </w:tcPr>
          <w:p w14:paraId="369AB6B1" w14:textId="310A4BF7" w:rsidR="00912A30" w:rsidRPr="0040630C" w:rsidRDefault="0048517E" w:rsidP="0040630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3111AD8" wp14:editId="7E14A72B">
                      <wp:simplePos x="0" y="0"/>
                      <wp:positionH relativeFrom="column">
                        <wp:posOffset>40005</wp:posOffset>
                      </wp:positionH>
                      <wp:positionV relativeFrom="paragraph">
                        <wp:posOffset>-257810</wp:posOffset>
                      </wp:positionV>
                      <wp:extent cx="2628900" cy="2476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247650"/>
                              </a:xfrm>
                              <a:prstGeom prst="rect">
                                <a:avLst/>
                              </a:prstGeom>
                              <a:solidFill>
                                <a:schemeClr val="lt1"/>
                              </a:solidFill>
                              <a:ln w="6350">
                                <a:noFill/>
                              </a:ln>
                            </wps:spPr>
                            <wps:txbx>
                              <w:txbxContent>
                                <w:p w14:paraId="54E1502B" w14:textId="54B23AE5" w:rsidR="0048517E" w:rsidRDefault="0048517E" w:rsidP="0048517E">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CARACTERISTICAS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111AD8" id="_x0000_t202" coordsize="21600,21600" o:spt="202" path="m,l,21600r21600,l21600,xe">
                      <v:stroke joinstyle="miter"/>
                      <v:path gradientshapeok="t" o:connecttype="rect"/>
                    </v:shapetype>
                    <v:shape id="Cuadro de texto 1" o:spid="_x0000_s1026" type="#_x0000_t202" style="position:absolute;left:0;text-align:left;margin-left:3.15pt;margin-top:-20.3pt;width:207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" fillcolor="white [3201]" stroked="f" strokeweight=".5pt">
                      <v:textbox>
                        <w:txbxContent>
                          <w:p w14:paraId="54E1502B" w14:textId="54B23AE5" w:rsidR="0048517E" w:rsidRDefault="0048517E" w:rsidP="0048517E">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CARACTERISTICAS</w:t>
                            </w:r>
                          </w:p>
                        </w:txbxContent>
                      </v:textbox>
                    </v:shape>
                  </w:pict>
                </mc:Fallback>
              </mc:AlternateContent>
            </w:r>
            <w:r w:rsidR="0040630C" w:rsidRPr="0040630C">
              <w:rPr>
                <w:rFonts w:ascii="Arial" w:hAnsi="Arial" w:cs="Arial"/>
                <w:sz w:val="20"/>
                <w:szCs w:val="20"/>
              </w:rPr>
              <w:t>Secreción del pene. Sensación de ardor al orinar. Ardor o picazón alrededor de la abertura del pene. Dolor e inflamación en uno o ambos testículos, aunque esto es menos común</w:t>
            </w:r>
          </w:p>
        </w:tc>
        <w:tc>
          <w:tcPr>
            <w:tcW w:w="4332" w:type="dxa"/>
          </w:tcPr>
          <w:p w14:paraId="685F7BAA" w14:textId="11BF1264" w:rsidR="00912A30" w:rsidRDefault="0048517E" w:rsidP="00F41A00">
            <w:pPr>
              <w:jc w:val="both"/>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0288" behindDoc="0" locked="0" layoutInCell="1" allowOverlap="1" wp14:anchorId="6A313DEC" wp14:editId="69AF6D4E">
                      <wp:simplePos x="0" y="0"/>
                      <wp:positionH relativeFrom="column">
                        <wp:posOffset>3810</wp:posOffset>
                      </wp:positionH>
                      <wp:positionV relativeFrom="paragraph">
                        <wp:posOffset>-276860</wp:posOffset>
                      </wp:positionV>
                      <wp:extent cx="2447925" cy="2667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2447925" cy="266700"/>
                              </a:xfrm>
                              <a:prstGeom prst="rect">
                                <a:avLst/>
                              </a:prstGeom>
                              <a:solidFill>
                                <a:schemeClr val="lt1"/>
                              </a:solidFill>
                              <a:ln w="6350">
                                <a:noFill/>
                              </a:ln>
                            </wps:spPr>
                            <wps:txbx>
                              <w:txbxContent>
                                <w:p w14:paraId="607B87C6" w14:textId="181BD07F" w:rsidR="0048517E" w:rsidRDefault="0048517E" w:rsidP="0048517E">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TRATAMIENTO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13DEC" id="Cuadro de texto 2" o:spid="_x0000_s1027" type="#_x0000_t202" style="position:absolute;left:0;text-align:left;margin-left:.3pt;margin-top:-21.8pt;width:192.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" fillcolor="white [3201]" stroked="f" strokeweight=".5pt">
                      <v:textbox>
                        <w:txbxContent>
                          <w:p w14:paraId="607B87C6" w14:textId="181BD07F" w:rsidR="0048517E" w:rsidRDefault="0048517E" w:rsidP="0048517E">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TRATAMIENTO</w:t>
                            </w:r>
                          </w:p>
                        </w:txbxContent>
                      </v:textbox>
                    </v:shape>
                  </w:pict>
                </mc:Fallback>
              </mc:AlternateContent>
            </w:r>
            <w:r w:rsidR="00F41A00" w:rsidRPr="00F41A00">
              <w:t>La clamidia se trata con antibióticos. El tratamiento antibiótico recomendado es la doxiciclina, dos dosis diarias durante siete días o la azitromicina en una única dosis. Se pueden utilizar otros medicamentos alternativos, pero no son tan eficaces como la azitromicina y la doxiciclina</w:t>
            </w:r>
          </w:p>
        </w:tc>
      </w:tr>
      <w:tr w:rsidR="00912A30" w14:paraId="29AF8C6C" w14:textId="77777777" w:rsidTr="0040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62B784BF" w14:textId="63C255EA" w:rsidR="00912A30" w:rsidRPr="00912A30" w:rsidRDefault="00F41A00" w:rsidP="00912A30">
            <w:pPr>
              <w:jc w:val="center"/>
              <w:rPr>
                <w:rFonts w:ascii="Arial" w:hAnsi="Arial" w:cs="Arial"/>
                <w:sz w:val="20"/>
                <w:szCs w:val="20"/>
              </w:rPr>
            </w:pPr>
            <w:r w:rsidRPr="00F41A00">
              <w:rPr>
                <w:rFonts w:ascii="Arial" w:hAnsi="Arial" w:cs="Arial"/>
                <w:sz w:val="20"/>
                <w:szCs w:val="20"/>
              </w:rPr>
              <w:t>NEISSERIA GONORRHOEAE</w:t>
            </w:r>
          </w:p>
        </w:tc>
        <w:tc>
          <w:tcPr>
            <w:tcW w:w="4332" w:type="dxa"/>
          </w:tcPr>
          <w:p w14:paraId="356C7B9D" w14:textId="60429B4D" w:rsidR="00912A30" w:rsidRPr="0040630C" w:rsidRDefault="0040630C" w:rsidP="0040630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630C">
              <w:rPr>
                <w:rFonts w:ascii="Arial" w:hAnsi="Arial" w:cs="Arial"/>
                <w:sz w:val="20"/>
                <w:szCs w:val="20"/>
              </w:rPr>
              <w:t>incluyen micción dolorosa y excreciones anormales del pene o la vagina. Los hombres sienten dolor en los testículos y las mujeres pueden sentir dolor en la zona inferior del vientre. En algunos casos, la gonorrea no presenta síntomas</w:t>
            </w:r>
          </w:p>
        </w:tc>
        <w:tc>
          <w:tcPr>
            <w:tcW w:w="4332" w:type="dxa"/>
          </w:tcPr>
          <w:p w14:paraId="1DCF02EA" w14:textId="3BB4B198" w:rsidR="00912A30" w:rsidRDefault="00F41A00" w:rsidP="00F41A00">
            <w:pPr>
              <w:jc w:val="both"/>
              <w:cnfStyle w:val="000000100000" w:firstRow="0" w:lastRow="0" w:firstColumn="0" w:lastColumn="0" w:oddVBand="0" w:evenVBand="0" w:oddHBand="1" w:evenHBand="0" w:firstRowFirstColumn="0" w:firstRowLastColumn="0" w:lastRowFirstColumn="0" w:lastRowLastColumn="0"/>
            </w:pPr>
            <w:r w:rsidRPr="00F41A00">
              <w:t xml:space="preserve">Debido a las cepas emergentes de </w:t>
            </w:r>
            <w:proofErr w:type="spellStart"/>
            <w:r w:rsidRPr="00F41A00">
              <w:t>Neisseria</w:t>
            </w:r>
            <w:proofErr w:type="spellEnd"/>
            <w:r w:rsidRPr="00F41A00">
              <w:t xml:space="preserve"> </w:t>
            </w:r>
            <w:proofErr w:type="spellStart"/>
            <w:r w:rsidRPr="00F41A00">
              <w:t>gonorrhoeae</w:t>
            </w:r>
            <w:proofErr w:type="spellEnd"/>
            <w:r w:rsidRPr="00F41A00">
              <w:t xml:space="preserve"> resistente a los medicamentos, los Centros para el Control y la Prevención de Enfermedades recomiendan que la gonorrea no complicada se trate con el antibiótico ceftriaxona, administrado por inyección, con azitromicina oral (</w:t>
            </w:r>
            <w:proofErr w:type="spellStart"/>
            <w:r w:rsidRPr="00F41A00">
              <w:t>Zithromax</w:t>
            </w:r>
            <w:proofErr w:type="spellEnd"/>
            <w:r w:rsidRPr="00F41A00">
              <w:t>).</w:t>
            </w:r>
          </w:p>
        </w:tc>
      </w:tr>
      <w:tr w:rsidR="00912A30" w14:paraId="42DAF091" w14:textId="77777777" w:rsidTr="0040630C">
        <w:tc>
          <w:tcPr>
            <w:cnfStyle w:val="001000000000" w:firstRow="0" w:lastRow="0" w:firstColumn="1" w:lastColumn="0" w:oddVBand="0" w:evenVBand="0" w:oddHBand="0" w:evenHBand="0" w:firstRowFirstColumn="0" w:firstRowLastColumn="0" w:lastRowFirstColumn="0" w:lastRowLastColumn="0"/>
            <w:tcW w:w="4332" w:type="dxa"/>
          </w:tcPr>
          <w:p w14:paraId="4EAAD4AA" w14:textId="0BF5BA97" w:rsidR="00912A30" w:rsidRPr="00912A30" w:rsidRDefault="00912A30" w:rsidP="00912A30">
            <w:pPr>
              <w:jc w:val="center"/>
              <w:rPr>
                <w:rFonts w:ascii="Arial" w:hAnsi="Arial" w:cs="Arial"/>
                <w:sz w:val="20"/>
                <w:szCs w:val="20"/>
              </w:rPr>
            </w:pPr>
            <w:r w:rsidRPr="00912A30">
              <w:rPr>
                <w:rFonts w:ascii="Arial" w:hAnsi="Arial" w:cs="Arial"/>
                <w:sz w:val="20"/>
                <w:szCs w:val="20"/>
              </w:rPr>
              <w:t>HERPES SIMPLEX VIRUS INFECTIONS</w:t>
            </w:r>
          </w:p>
        </w:tc>
        <w:tc>
          <w:tcPr>
            <w:tcW w:w="4332" w:type="dxa"/>
          </w:tcPr>
          <w:p w14:paraId="3790E62E" w14:textId="77777777" w:rsidR="00912A30" w:rsidRDefault="0040630C" w:rsidP="0040630C">
            <w:pPr>
              <w:jc w:val="both"/>
              <w:cnfStyle w:val="000000000000" w:firstRow="0" w:lastRow="0" w:firstColumn="0" w:lastColumn="0" w:oddVBand="0" w:evenVBand="0" w:oddHBand="0" w:evenHBand="0" w:firstRowFirstColumn="0" w:firstRowLastColumn="0" w:lastRowFirstColumn="0" w:lastRowLastColumn="0"/>
            </w:pPr>
            <w:r w:rsidRPr="0040630C">
              <w:t>Los primeros síntomas son dolor, comezón y pequeñas llagas. Forman úlceras y escaras. Después de la infección inicial, el herpes genital permanece latente en el cuerpo. Los síntomas pueden volver a aparecer durante años.</w:t>
            </w:r>
          </w:p>
          <w:p w14:paraId="0AAD57E6" w14:textId="7DB553D5" w:rsidR="0040630C" w:rsidRDefault="0040630C" w:rsidP="0040630C">
            <w:pPr>
              <w:jc w:val="both"/>
              <w:cnfStyle w:val="000000000000" w:firstRow="0" w:lastRow="0" w:firstColumn="0" w:lastColumn="0" w:oddVBand="0" w:evenVBand="0" w:oddHBand="0" w:evenHBand="0" w:firstRowFirstColumn="0" w:firstRowLastColumn="0" w:lastRowFirstColumn="0" w:lastRowLastColumn="0"/>
            </w:pPr>
            <w:r w:rsidRPr="0040630C">
              <w:t>Las llagas del herpes por lo general se ven como una o más ampollas en los genitales, el recto o la boca, o a su alrededor. Las ampollas se abren y dejan llagas dolorosas que pueden tardar una semana o más en curarse. A estos síntomas a veces se les conoce como “tener un brote”.</w:t>
            </w:r>
          </w:p>
        </w:tc>
        <w:tc>
          <w:tcPr>
            <w:tcW w:w="4332" w:type="dxa"/>
          </w:tcPr>
          <w:p w14:paraId="3711D9BD" w14:textId="60730BDA" w:rsidR="00912A30" w:rsidRDefault="0003416F" w:rsidP="0003416F">
            <w:pPr>
              <w:jc w:val="both"/>
              <w:cnfStyle w:val="000000000000" w:firstRow="0" w:lastRow="0" w:firstColumn="0" w:lastColumn="0" w:oddVBand="0" w:evenVBand="0" w:oddHBand="0" w:evenHBand="0" w:firstRowFirstColumn="0" w:firstRowLastColumn="0" w:lastRowFirstColumn="0" w:lastRowLastColumn="0"/>
            </w:pPr>
            <w:r w:rsidRPr="0003416F">
              <w:t>Los medicamentos antivirales (aciclovir y otros medicamentos relacionados) pueden aliviar el dolor y la molestia y ayudar a que el brote desaparezca más rápidamente. También pueden reducir la cantidad de brotes</w:t>
            </w:r>
          </w:p>
        </w:tc>
      </w:tr>
      <w:tr w:rsidR="00912A30" w14:paraId="68BCE6CD" w14:textId="77777777" w:rsidTr="0040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644BBA66" w14:textId="47803562" w:rsidR="00912A30" w:rsidRPr="00912A30" w:rsidRDefault="00912A30" w:rsidP="00912A30">
            <w:pPr>
              <w:jc w:val="center"/>
              <w:rPr>
                <w:rFonts w:ascii="Arial" w:hAnsi="Arial" w:cs="Arial"/>
                <w:sz w:val="20"/>
                <w:szCs w:val="20"/>
              </w:rPr>
            </w:pPr>
            <w:r w:rsidRPr="00912A30">
              <w:rPr>
                <w:rFonts w:ascii="Arial" w:hAnsi="Arial" w:cs="Arial"/>
                <w:sz w:val="20"/>
                <w:szCs w:val="20"/>
              </w:rPr>
              <w:t>VIRUS DEL PAPILOMA HUMANO (VPH)</w:t>
            </w:r>
          </w:p>
        </w:tc>
        <w:tc>
          <w:tcPr>
            <w:tcW w:w="4332" w:type="dxa"/>
          </w:tcPr>
          <w:p w14:paraId="483ABF15" w14:textId="01D1984B" w:rsidR="00912A30" w:rsidRDefault="00F41A00" w:rsidP="00F41A00">
            <w:pPr>
              <w:jc w:val="both"/>
              <w:cnfStyle w:val="000000100000" w:firstRow="0" w:lastRow="0" w:firstColumn="0" w:lastColumn="0" w:oddVBand="0" w:evenVBand="0" w:oddHBand="1" w:evenHBand="0" w:firstRowFirstColumn="0" w:firstRowLastColumn="0" w:lastRowFirstColumn="0" w:lastRowLastColumn="0"/>
            </w:pPr>
            <w:r w:rsidRPr="00F41A00">
              <w:t>Los virus del papiloma humano (VPH) son un grupo de virus relacionados entre sí. Pueden causar verrugas en diferentes partes del cuerpo. Existen más de 200 tipos. Cerca de 40 de ellos afectan a los genitales.</w:t>
            </w:r>
            <w:r>
              <w:t xml:space="preserve"> Deprimen o </w:t>
            </w:r>
            <w:r>
              <w:lastRenderedPageBreak/>
              <w:t xml:space="preserve">disminuyen tu sistema inmunológico y afecta en todo el cuerpo general. </w:t>
            </w:r>
          </w:p>
        </w:tc>
        <w:tc>
          <w:tcPr>
            <w:tcW w:w="4332" w:type="dxa"/>
          </w:tcPr>
          <w:p w14:paraId="7392ABDF" w14:textId="77777777" w:rsidR="0003416F" w:rsidRDefault="0003416F" w:rsidP="0003416F">
            <w:pPr>
              <w:jc w:val="both"/>
              <w:cnfStyle w:val="000000100000" w:firstRow="0" w:lastRow="0" w:firstColumn="0" w:lastColumn="0" w:oddVBand="0" w:evenVBand="0" w:oddHBand="1" w:evenHBand="0" w:firstRowFirstColumn="0" w:firstRowLastColumn="0" w:lastRowFirstColumn="0" w:lastRowLastColumn="0"/>
            </w:pPr>
            <w:r>
              <w:lastRenderedPageBreak/>
              <w:t>Colposcopia: un procedimiento para observar más de cerca el cuello uterino para ver si hay células precancerosas.</w:t>
            </w:r>
          </w:p>
          <w:p w14:paraId="5CD8839E" w14:textId="77777777" w:rsidR="0003416F" w:rsidRDefault="0003416F" w:rsidP="0003416F">
            <w:pPr>
              <w:jc w:val="both"/>
              <w:cnfStyle w:val="000000100000" w:firstRow="0" w:lastRow="0" w:firstColumn="0" w:lastColumn="0" w:oddVBand="0" w:evenVBand="0" w:oddHBand="1" w:evenHBand="0" w:firstRowFirstColumn="0" w:firstRowLastColumn="0" w:lastRowFirstColumn="0" w:lastRowLastColumn="0"/>
            </w:pPr>
            <w:r>
              <w:lastRenderedPageBreak/>
              <w:t>Crioterapia: un tratamiento para congelar y remover (sacar) las células precancerosas del cuello uterino.</w:t>
            </w:r>
          </w:p>
          <w:p w14:paraId="10C17547" w14:textId="793E3D1B" w:rsidR="00912A30" w:rsidRDefault="0003416F" w:rsidP="0003416F">
            <w:pPr>
              <w:jc w:val="both"/>
              <w:cnfStyle w:val="000000100000" w:firstRow="0" w:lastRow="0" w:firstColumn="0" w:lastColumn="0" w:oddVBand="0" w:evenVBand="0" w:oddHBand="1" w:evenHBand="0" w:firstRowFirstColumn="0" w:firstRowLastColumn="0" w:lastRowFirstColumn="0" w:lastRowLastColumn="0"/>
            </w:pPr>
            <w:r>
              <w:t xml:space="preserve">LEEP o procedimiento de extirpación </w:t>
            </w:r>
            <w:proofErr w:type="spellStart"/>
            <w:r>
              <w:t>electroquirúrgico</w:t>
            </w:r>
            <w:proofErr w:type="spellEnd"/>
            <w:r>
              <w:t xml:space="preserve"> de lazo: un tratamiento para remover las células precancerosas del cuello uterino con una corriente eléctrica.</w:t>
            </w:r>
          </w:p>
        </w:tc>
      </w:tr>
      <w:tr w:rsidR="00912A30" w14:paraId="4687D79D" w14:textId="77777777" w:rsidTr="0040630C">
        <w:tc>
          <w:tcPr>
            <w:cnfStyle w:val="001000000000" w:firstRow="0" w:lastRow="0" w:firstColumn="1" w:lastColumn="0" w:oddVBand="0" w:evenVBand="0" w:oddHBand="0" w:evenHBand="0" w:firstRowFirstColumn="0" w:firstRowLastColumn="0" w:lastRowFirstColumn="0" w:lastRowLastColumn="0"/>
            <w:tcW w:w="4332" w:type="dxa"/>
          </w:tcPr>
          <w:p w14:paraId="31EF47A6" w14:textId="5E0BBC12" w:rsidR="00912A30" w:rsidRPr="00912A30" w:rsidRDefault="00912A30" w:rsidP="00912A30">
            <w:pPr>
              <w:jc w:val="center"/>
              <w:rPr>
                <w:rFonts w:ascii="Arial" w:hAnsi="Arial" w:cs="Arial"/>
                <w:sz w:val="20"/>
                <w:szCs w:val="20"/>
              </w:rPr>
            </w:pPr>
            <w:r w:rsidRPr="00912A30">
              <w:rPr>
                <w:rFonts w:ascii="Arial" w:hAnsi="Arial" w:cs="Arial"/>
                <w:sz w:val="20"/>
                <w:szCs w:val="20"/>
              </w:rPr>
              <w:t>SÍFILIS</w:t>
            </w:r>
          </w:p>
        </w:tc>
        <w:tc>
          <w:tcPr>
            <w:tcW w:w="4332" w:type="dxa"/>
          </w:tcPr>
          <w:p w14:paraId="439C8AD7" w14:textId="480D3D04" w:rsidR="00912A30" w:rsidRDefault="00F41A00" w:rsidP="00F41A00">
            <w:pPr>
              <w:jc w:val="both"/>
              <w:cnfStyle w:val="000000000000" w:firstRow="0" w:lastRow="0" w:firstColumn="0" w:lastColumn="0" w:oddVBand="0" w:evenVBand="0" w:oddHBand="0" w:evenHBand="0" w:firstRowFirstColumn="0" w:firstRowLastColumn="0" w:lastRowFirstColumn="0" w:lastRowLastColumn="0"/>
            </w:pPr>
            <w:r w:rsidRPr="00F41A00">
              <w:t>La primera etapa se caracteriza por la aparición de llagas indoloras en los genitales, el recto o la boca. Una vez que se cura la llaga inicial, la segunda etapa se caracteriza por la aparición de un sarpullido. Luego, no se presentan síntomas hasta la última etapa, que puede ocurrir años después. La etapa final puede provocar daños en el cerebro, los nervios, los ojos o el corazón</w:t>
            </w:r>
          </w:p>
        </w:tc>
        <w:tc>
          <w:tcPr>
            <w:tcW w:w="4332" w:type="dxa"/>
          </w:tcPr>
          <w:p w14:paraId="67872448" w14:textId="6374C78C" w:rsidR="00912A30" w:rsidRDefault="0003416F" w:rsidP="0003416F">
            <w:pPr>
              <w:jc w:val="both"/>
              <w:cnfStyle w:val="000000000000" w:firstRow="0" w:lastRow="0" w:firstColumn="0" w:lastColumn="0" w:oddVBand="0" w:evenVBand="0" w:oddHBand="0" w:evenHBand="0" w:firstRowFirstColumn="0" w:firstRowLastColumn="0" w:lastRowFirstColumn="0" w:lastRowLastColumn="0"/>
            </w:pPr>
            <w:r w:rsidRPr="0003416F">
              <w:t>La sífilis se trata con penicilina. Las parejas sexuales también deben recibir el tratamiento.</w:t>
            </w:r>
          </w:p>
        </w:tc>
      </w:tr>
      <w:tr w:rsidR="00912A30" w14:paraId="24AC24C0" w14:textId="77777777" w:rsidTr="00406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64678CBB" w14:textId="03CB1012" w:rsidR="00912A30" w:rsidRPr="00912A30" w:rsidRDefault="00912A30" w:rsidP="00912A30">
            <w:pPr>
              <w:jc w:val="center"/>
              <w:rPr>
                <w:rFonts w:ascii="Arial" w:hAnsi="Arial" w:cs="Arial"/>
                <w:sz w:val="20"/>
                <w:szCs w:val="20"/>
              </w:rPr>
            </w:pPr>
            <w:r w:rsidRPr="00912A30">
              <w:rPr>
                <w:rFonts w:ascii="Arial" w:hAnsi="Arial" w:cs="Arial"/>
                <w:sz w:val="20"/>
                <w:szCs w:val="20"/>
              </w:rPr>
              <w:t>VIH (VIRUS DE LA INMUNODEFICIENCIA HUMANA</w:t>
            </w:r>
          </w:p>
        </w:tc>
        <w:tc>
          <w:tcPr>
            <w:tcW w:w="4332" w:type="dxa"/>
          </w:tcPr>
          <w:p w14:paraId="738ED4F2" w14:textId="566F1559" w:rsidR="00912A30" w:rsidRDefault="00F41A00" w:rsidP="00F41A00">
            <w:pPr>
              <w:jc w:val="both"/>
              <w:cnfStyle w:val="000000100000" w:firstRow="0" w:lastRow="0" w:firstColumn="0" w:lastColumn="0" w:oddVBand="0" w:evenVBand="0" w:oddHBand="1" w:evenHBand="0" w:firstRowFirstColumn="0" w:firstRowLastColumn="0" w:lastRowFirstColumn="0" w:lastRowLastColumn="0"/>
            </w:pPr>
            <w:r w:rsidRPr="00F41A00">
              <w:t>Al cabo de pocas semanas de la infección con el VIH, pueden aparecer síntomas como fiebre, dolor de garganta y fatiga. Luego, la enfermedad suele ser asintomática hasta que se convierte en SIDA. Los síntomas incluyen pérdida de peso, fiebre o sudores nocturnos, infecciones recurrentes y fatiga.</w:t>
            </w:r>
          </w:p>
        </w:tc>
        <w:tc>
          <w:tcPr>
            <w:tcW w:w="4332" w:type="dxa"/>
          </w:tcPr>
          <w:p w14:paraId="498C4126" w14:textId="59EF883F" w:rsidR="00912A30" w:rsidRDefault="0048517E" w:rsidP="0048517E">
            <w:pPr>
              <w:jc w:val="both"/>
              <w:cnfStyle w:val="000000100000" w:firstRow="0" w:lastRow="0" w:firstColumn="0" w:lastColumn="0" w:oddVBand="0" w:evenVBand="0" w:oddHBand="1" w:evenHBand="0" w:firstRowFirstColumn="0" w:firstRowLastColumn="0" w:lastRowFirstColumn="0" w:lastRowLastColumn="0"/>
            </w:pPr>
            <w:r w:rsidRPr="0048517E">
              <w:t>El tratamiento del VIH implica tomar medicamentos que reducen la cantidad de virus que hay en el cuerpo. Los medicamentos para el VIH se llaman terapia antirretroviral (TAR)</w:t>
            </w:r>
          </w:p>
        </w:tc>
      </w:tr>
    </w:tbl>
    <w:p w14:paraId="77147366" w14:textId="2E85F919" w:rsidR="00912A30" w:rsidRDefault="00912A30" w:rsidP="00912A30">
      <w:pPr>
        <w:jc w:val="center"/>
      </w:pPr>
    </w:p>
    <w:sectPr w:rsidR="00912A30" w:rsidSect="00912A3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1B4C" w14:textId="77777777" w:rsidR="00F164F0" w:rsidRDefault="00F164F0" w:rsidP="00912A30">
      <w:pPr>
        <w:spacing w:after="0" w:line="240" w:lineRule="auto"/>
      </w:pPr>
      <w:r>
        <w:separator/>
      </w:r>
    </w:p>
  </w:endnote>
  <w:endnote w:type="continuationSeparator" w:id="0">
    <w:p w14:paraId="3DDF0F36" w14:textId="77777777" w:rsidR="00F164F0" w:rsidRDefault="00F164F0" w:rsidP="0091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60D2" w14:textId="77777777" w:rsidR="00F164F0" w:rsidRDefault="00F164F0" w:rsidP="00912A30">
      <w:pPr>
        <w:spacing w:after="0" w:line="240" w:lineRule="auto"/>
      </w:pPr>
      <w:r>
        <w:separator/>
      </w:r>
    </w:p>
  </w:footnote>
  <w:footnote w:type="continuationSeparator" w:id="0">
    <w:p w14:paraId="5F3B2CC5" w14:textId="77777777" w:rsidR="00F164F0" w:rsidRDefault="00F164F0" w:rsidP="00912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30"/>
    <w:rsid w:val="0003416F"/>
    <w:rsid w:val="0040630C"/>
    <w:rsid w:val="0048517E"/>
    <w:rsid w:val="00912A30"/>
    <w:rsid w:val="00F164F0"/>
    <w:rsid w:val="00F41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201C"/>
  <w15:chartTrackingRefBased/>
  <w15:docId w15:val="{58F888C3-AA4B-41AE-A788-6C863ED2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2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A30"/>
  </w:style>
  <w:style w:type="paragraph" w:styleId="Piedepgina">
    <w:name w:val="footer"/>
    <w:basedOn w:val="Normal"/>
    <w:link w:val="PiedepginaCar"/>
    <w:uiPriority w:val="99"/>
    <w:unhideWhenUsed/>
    <w:rsid w:val="00912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A30"/>
  </w:style>
  <w:style w:type="table" w:styleId="Tablaconcuadrcula4-nfasis5">
    <w:name w:val="Grid Table 4 Accent 5"/>
    <w:basedOn w:val="Tablanormal"/>
    <w:uiPriority w:val="49"/>
    <w:rsid w:val="004063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JONNY</cp:lastModifiedBy>
  <cp:revision>1</cp:revision>
  <dcterms:created xsi:type="dcterms:W3CDTF">2022-05-25T01:19:00Z</dcterms:created>
  <dcterms:modified xsi:type="dcterms:W3CDTF">2022-05-25T01:43:00Z</dcterms:modified>
</cp:coreProperties>
</file>