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B9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1D458D">
        <w:rPr>
          <w:rFonts w:ascii="Arial" w:hAnsi="Arial" w:cs="Arial"/>
          <w:sz w:val="24"/>
          <w:szCs w:val="24"/>
        </w:rPr>
        <w:t>Universidad del sureste</w:t>
      </w:r>
    </w:p>
    <w:p w:rsidR="001D458D" w:rsidRP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1D458D">
        <w:rPr>
          <w:rFonts w:ascii="Arial" w:hAnsi="Arial" w:cs="Arial"/>
          <w:sz w:val="24"/>
          <w:szCs w:val="24"/>
        </w:rPr>
        <w:t>DR. Saúl Peraza Marín</w:t>
      </w:r>
    </w:p>
    <w:p w:rsidR="001D458D" w:rsidRP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1D458D">
        <w:rPr>
          <w:rFonts w:ascii="Arial" w:hAnsi="Arial" w:cs="Arial"/>
          <w:sz w:val="24"/>
          <w:szCs w:val="24"/>
        </w:rPr>
        <w:t>Pediatría</w:t>
      </w:r>
    </w:p>
    <w:p w:rsidR="001D458D" w:rsidRP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1D458D">
        <w:rPr>
          <w:rFonts w:ascii="Arial" w:hAnsi="Arial" w:cs="Arial"/>
          <w:sz w:val="24"/>
          <w:szCs w:val="24"/>
        </w:rPr>
        <w:t>Reunión de zoom</w:t>
      </w:r>
    </w:p>
    <w:p w:rsidR="001D458D" w:rsidRP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1D458D">
        <w:rPr>
          <w:rFonts w:ascii="Arial" w:hAnsi="Arial" w:cs="Arial"/>
          <w:sz w:val="24"/>
          <w:szCs w:val="24"/>
        </w:rPr>
        <w:t xml:space="preserve">Hannia del </w:t>
      </w:r>
      <w:proofErr w:type="gramStart"/>
      <w:r w:rsidRPr="001D458D">
        <w:rPr>
          <w:rFonts w:ascii="Arial" w:hAnsi="Arial" w:cs="Arial"/>
          <w:sz w:val="24"/>
          <w:szCs w:val="24"/>
        </w:rPr>
        <w:t>Carmen  Salazar</w:t>
      </w:r>
      <w:proofErr w:type="gramEnd"/>
      <w:r w:rsidRPr="001D458D">
        <w:rPr>
          <w:rFonts w:ascii="Arial" w:hAnsi="Arial" w:cs="Arial"/>
          <w:sz w:val="24"/>
          <w:szCs w:val="24"/>
        </w:rPr>
        <w:t xml:space="preserve"> Jimenez</w:t>
      </w:r>
    </w:p>
    <w:p w:rsid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1D458D" w:rsidRDefault="001D458D" w:rsidP="001D458D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1D458D" w:rsidRDefault="001D458D" w:rsidP="00520519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1D458D">
        <w:rPr>
          <w:rFonts w:ascii="Arial" w:hAnsi="Arial" w:cs="Arial"/>
          <w:sz w:val="24"/>
          <w:szCs w:val="24"/>
        </w:rPr>
        <w:lastRenderedPageBreak/>
        <w:t>PROBLEMAS DE HIPERCRECIMIENTO</w:t>
      </w:r>
    </w:p>
    <w:p w:rsidR="00520519" w:rsidRPr="00D71DB0" w:rsidRDefault="00520519" w:rsidP="00D71D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71DB0">
        <w:rPr>
          <w:rFonts w:ascii="Arial" w:hAnsi="Arial" w:cs="Arial"/>
          <w:sz w:val="28"/>
          <w:szCs w:val="28"/>
        </w:rPr>
        <w:t xml:space="preserve">El </w:t>
      </w:r>
      <w:proofErr w:type="spellStart"/>
      <w:r w:rsidRPr="00D71DB0">
        <w:rPr>
          <w:rFonts w:ascii="Arial" w:hAnsi="Arial" w:cs="Arial"/>
          <w:sz w:val="28"/>
          <w:szCs w:val="28"/>
        </w:rPr>
        <w:t>hipercrecimiento</w:t>
      </w:r>
      <w:proofErr w:type="spellEnd"/>
      <w:r w:rsidRPr="00D71DB0">
        <w:rPr>
          <w:rFonts w:ascii="Arial" w:hAnsi="Arial" w:cs="Arial"/>
          <w:sz w:val="28"/>
          <w:szCs w:val="28"/>
        </w:rPr>
        <w:t xml:space="preserve"> está definido por una estatura superior o igual a dos desviaciones estándar respecto a la estatura media de las curvas de referencia para una población determinada; se habla de gigantismo cuando la estatura es superior a tres desviaciones estándar</w:t>
      </w:r>
    </w:p>
    <w:p w:rsidR="00520519" w:rsidRPr="00D71DB0" w:rsidRDefault="00D71DB0" w:rsidP="00D71D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71DB0">
        <w:rPr>
          <w:rFonts w:ascii="Arial" w:hAnsi="Arial" w:cs="Arial"/>
          <w:sz w:val="28"/>
          <w:szCs w:val="28"/>
        </w:rPr>
        <w:t xml:space="preserve">En el </w:t>
      </w:r>
      <w:proofErr w:type="spellStart"/>
      <w:r w:rsidRPr="00D71DB0">
        <w:rPr>
          <w:rFonts w:ascii="Arial" w:hAnsi="Arial" w:cs="Arial"/>
          <w:sz w:val="28"/>
          <w:szCs w:val="28"/>
        </w:rPr>
        <w:t>hipercrecimiento</w:t>
      </w:r>
      <w:proofErr w:type="spellEnd"/>
      <w:r w:rsidRPr="00D71DB0">
        <w:rPr>
          <w:rFonts w:ascii="Arial" w:hAnsi="Arial" w:cs="Arial"/>
          <w:sz w:val="28"/>
          <w:szCs w:val="28"/>
        </w:rPr>
        <w:t xml:space="preserve"> primitivo, un diagnóstico preciso permite la detección precoz de las complicaciones, tumorales o cardiovasculares fundamentalmente. Cuando se trata de estaturas altas constitucionales, el motivo de la consulta suele ser para evaluar el pronóstico </w:t>
      </w:r>
      <w:proofErr w:type="spellStart"/>
      <w:r w:rsidRPr="00D71DB0">
        <w:rPr>
          <w:rFonts w:ascii="Arial" w:hAnsi="Arial" w:cs="Arial"/>
          <w:sz w:val="28"/>
          <w:szCs w:val="28"/>
        </w:rPr>
        <w:t>estatural</w:t>
      </w:r>
      <w:proofErr w:type="spellEnd"/>
      <w:r w:rsidRPr="00D71DB0">
        <w:rPr>
          <w:rFonts w:ascii="Arial" w:hAnsi="Arial" w:cs="Arial"/>
          <w:sz w:val="28"/>
          <w:szCs w:val="28"/>
        </w:rPr>
        <w:t xml:space="preserve"> y, si es el caso, plantear un tratamiento inhibidor del crecimiento</w:t>
      </w:r>
    </w:p>
    <w:p w:rsidR="00D71DB0" w:rsidRPr="00D71DB0" w:rsidRDefault="00D71DB0" w:rsidP="00D71D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71DB0">
        <w:rPr>
          <w:rFonts w:ascii="Arial" w:hAnsi="Arial" w:cs="Arial"/>
          <w:sz w:val="28"/>
          <w:szCs w:val="28"/>
        </w:rPr>
        <w:t xml:space="preserve"> existen dos tipos de tratamientos para disminuir la estatura adulta: el primero, muy utilizado, consiste en administrar esteroides sexuales (estrógenos en la niña y testosterona en el niño) al comienzo de la pubertad para acelerar el desarrollo sexual y la fusión de los cartílagos de conjunción; el segundo, más teórico, consiste en reducir la secreción o la acción de la hormona de crecimiento mediante análogos de la </w:t>
      </w:r>
      <w:proofErr w:type="spellStart"/>
      <w:r w:rsidRPr="00D71DB0">
        <w:rPr>
          <w:rFonts w:ascii="Arial" w:hAnsi="Arial" w:cs="Arial"/>
          <w:sz w:val="28"/>
          <w:szCs w:val="28"/>
        </w:rPr>
        <w:t>somatostatina</w:t>
      </w:r>
      <w:proofErr w:type="spellEnd"/>
      <w:r w:rsidRPr="00D71DB0">
        <w:rPr>
          <w:rFonts w:ascii="Arial" w:hAnsi="Arial" w:cs="Arial"/>
          <w:sz w:val="28"/>
          <w:szCs w:val="28"/>
        </w:rPr>
        <w:t>, o de manera más reciente, mediante antagonistas del receptor de GH</w:t>
      </w:r>
    </w:p>
    <w:p w:rsidR="00D71DB0" w:rsidRPr="00520519" w:rsidRDefault="00D71D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1DB0" w:rsidRPr="00520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D"/>
    <w:rsid w:val="00075EDF"/>
    <w:rsid w:val="000E180D"/>
    <w:rsid w:val="001D458D"/>
    <w:rsid w:val="00520519"/>
    <w:rsid w:val="00D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4A99"/>
  <w15:chartTrackingRefBased/>
  <w15:docId w15:val="{06FDA0B1-BB6D-42B4-A3A3-468DC87C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patricia jimenez albores</dc:creator>
  <cp:keywords/>
  <dc:description/>
  <cp:lastModifiedBy>maria patricia jimenez albores</cp:lastModifiedBy>
  <cp:revision>1</cp:revision>
  <dcterms:created xsi:type="dcterms:W3CDTF">2021-10-01T20:05:00Z</dcterms:created>
  <dcterms:modified xsi:type="dcterms:W3CDTF">2021-10-01T20:38:00Z</dcterms:modified>
</cp:coreProperties>
</file>