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FC" w:rsidRPr="00F7074D" w:rsidRDefault="00F7074D" w:rsidP="00CA75ED">
      <w:pPr>
        <w:spacing w:line="360" w:lineRule="auto"/>
        <w:contextualSpacing/>
        <w:jc w:val="center"/>
        <w:rPr>
          <w:rFonts w:ascii="Gill Sans MT" w:hAnsi="Gill Sans MT"/>
          <w:b/>
          <w:sz w:val="24"/>
          <w:szCs w:val="24"/>
        </w:rPr>
      </w:pPr>
      <w:r w:rsidRPr="00F7074D">
        <w:rPr>
          <w:rFonts w:ascii="Gill Sans MT" w:hAnsi="Gill Sans MT"/>
          <w:b/>
          <w:noProof/>
          <w:sz w:val="24"/>
          <w:szCs w:val="24"/>
          <w:lang w:eastAsia="es-MX"/>
        </w:rPr>
        <w:drawing>
          <wp:anchor distT="0" distB="0" distL="114300" distR="114300" simplePos="0" relativeHeight="251659264" behindDoc="0" locked="0" layoutInCell="1" allowOverlap="1" wp14:anchorId="12707D80" wp14:editId="008B4210">
            <wp:simplePos x="0" y="0"/>
            <wp:positionH relativeFrom="column">
              <wp:posOffset>-736600</wp:posOffset>
            </wp:positionH>
            <wp:positionV relativeFrom="paragraph">
              <wp:posOffset>-636905</wp:posOffset>
            </wp:positionV>
            <wp:extent cx="1409700" cy="64145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cstate="print">
                      <a:extLst>
                        <a:ext uri="{28A0092B-C50C-407E-A947-70E740481C1C}">
                          <a14:useLocalDpi xmlns:a14="http://schemas.microsoft.com/office/drawing/2010/main" val="0"/>
                        </a:ext>
                      </a:extLst>
                    </a:blip>
                    <a:srcRect t="12650" b="9638"/>
                    <a:stretch/>
                  </pic:blipFill>
                  <pic:spPr bwMode="auto">
                    <a:xfrm>
                      <a:off x="0" y="0"/>
                      <a:ext cx="1409700" cy="641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074D">
        <w:rPr>
          <w:rFonts w:ascii="Gill Sans MT" w:hAnsi="Gill Sans MT"/>
          <w:b/>
          <w:noProof/>
          <w:sz w:val="24"/>
          <w:szCs w:val="24"/>
          <w:lang w:eastAsia="es-MX"/>
        </w:rPr>
        <w:drawing>
          <wp:anchor distT="0" distB="0" distL="114300" distR="114300" simplePos="0" relativeHeight="251660288" behindDoc="1" locked="0" layoutInCell="1" allowOverlap="1" wp14:anchorId="3D77393A" wp14:editId="21DB2E61">
            <wp:simplePos x="0" y="0"/>
            <wp:positionH relativeFrom="column">
              <wp:posOffset>5657850</wp:posOffset>
            </wp:positionH>
            <wp:positionV relativeFrom="paragraph">
              <wp:posOffset>-718299</wp:posOffset>
            </wp:positionV>
            <wp:extent cx="847725" cy="965177"/>
            <wp:effectExtent l="0" t="0" r="0" b="698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de medicina-01.jpg"/>
                    <pic:cNvPicPr/>
                  </pic:nvPicPr>
                  <pic:blipFill rotWithShape="1">
                    <a:blip r:embed="rId9" cstate="print">
                      <a:extLst>
                        <a:ext uri="{28A0092B-C50C-407E-A947-70E740481C1C}">
                          <a14:useLocalDpi xmlns:a14="http://schemas.microsoft.com/office/drawing/2010/main" val="0"/>
                        </a:ext>
                      </a:extLst>
                    </a:blip>
                    <a:srcRect l="15970" r="16009"/>
                    <a:stretch/>
                  </pic:blipFill>
                  <pic:spPr bwMode="auto">
                    <a:xfrm>
                      <a:off x="0" y="0"/>
                      <a:ext cx="850119" cy="9679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3BFC" w:rsidRPr="00F7074D">
        <w:rPr>
          <w:rFonts w:ascii="Arial" w:hAnsi="Arial" w:cs="Arial"/>
          <w:b/>
          <w:color w:val="44546A" w:themeColor="text2"/>
          <w:sz w:val="72"/>
          <w:szCs w:val="24"/>
        </w:rPr>
        <w:t>Universidad del Sureste</w:t>
      </w:r>
    </w:p>
    <w:p w:rsidR="00B23BFC" w:rsidRPr="00CA75ED" w:rsidRDefault="00B23BFC" w:rsidP="00330318">
      <w:pPr>
        <w:spacing w:line="240" w:lineRule="auto"/>
        <w:contextualSpacing/>
        <w:jc w:val="center"/>
        <w:rPr>
          <w:rFonts w:ascii="Arial" w:hAnsi="Arial" w:cs="Arial"/>
          <w:b/>
          <w:color w:val="44546A" w:themeColor="text2"/>
          <w:sz w:val="36"/>
          <w:szCs w:val="24"/>
        </w:rPr>
      </w:pPr>
      <w:r w:rsidRPr="00CA75ED">
        <w:rPr>
          <w:rFonts w:ascii="Arial" w:hAnsi="Arial" w:cs="Arial"/>
          <w:b/>
          <w:color w:val="44546A" w:themeColor="text2"/>
          <w:sz w:val="36"/>
          <w:szCs w:val="24"/>
        </w:rPr>
        <w:t>Licenciatura en Medicina Humana</w:t>
      </w:r>
    </w:p>
    <w:p w:rsidR="00840A9D" w:rsidRPr="00CA75ED" w:rsidRDefault="00840A9D" w:rsidP="00B23BFC">
      <w:pPr>
        <w:spacing w:line="360" w:lineRule="auto"/>
        <w:contextualSpacing/>
        <w:jc w:val="center"/>
        <w:rPr>
          <w:rFonts w:ascii="Arial" w:hAnsi="Arial" w:cs="Arial"/>
          <w:b/>
          <w:color w:val="44546A" w:themeColor="text2"/>
          <w:szCs w:val="24"/>
        </w:rPr>
      </w:pPr>
    </w:p>
    <w:p w:rsidR="00840A9D" w:rsidRDefault="00840A9D" w:rsidP="00B23BFC">
      <w:pPr>
        <w:spacing w:line="360" w:lineRule="auto"/>
        <w:contextualSpacing/>
        <w:jc w:val="center"/>
        <w:rPr>
          <w:rFonts w:ascii="Arial" w:hAnsi="Arial" w:cs="Arial"/>
          <w:b/>
          <w:color w:val="44546A" w:themeColor="text2"/>
          <w:sz w:val="28"/>
          <w:szCs w:val="24"/>
        </w:rPr>
      </w:pPr>
    </w:p>
    <w:p w:rsidR="00CA75ED" w:rsidRDefault="00CA75ED" w:rsidP="00B23BFC">
      <w:pPr>
        <w:spacing w:line="360" w:lineRule="auto"/>
        <w:contextualSpacing/>
        <w:jc w:val="center"/>
        <w:rPr>
          <w:rFonts w:ascii="Arial" w:hAnsi="Arial" w:cs="Arial"/>
          <w:b/>
          <w:color w:val="44546A" w:themeColor="text2"/>
          <w:sz w:val="28"/>
          <w:szCs w:val="24"/>
        </w:rPr>
      </w:pPr>
      <w:r>
        <w:rPr>
          <w:rFonts w:ascii="Arial" w:hAnsi="Arial" w:cs="Arial"/>
          <w:b/>
          <w:color w:val="44546A" w:themeColor="text2"/>
          <w:sz w:val="28"/>
          <w:szCs w:val="24"/>
        </w:rPr>
        <w:t>Materia:</w:t>
      </w:r>
    </w:p>
    <w:p w:rsidR="007964B0" w:rsidRPr="007964B0" w:rsidRDefault="00BF33C4" w:rsidP="00B23BFC">
      <w:pPr>
        <w:spacing w:line="360" w:lineRule="auto"/>
        <w:contextualSpacing/>
        <w:jc w:val="center"/>
        <w:rPr>
          <w:rFonts w:ascii="Arial" w:hAnsi="Arial" w:cs="Arial"/>
          <w:b/>
          <w:color w:val="44546A" w:themeColor="text2"/>
          <w:sz w:val="32"/>
          <w:szCs w:val="24"/>
          <w:u w:val="single"/>
        </w:rPr>
      </w:pPr>
      <w:r>
        <w:rPr>
          <w:rFonts w:ascii="Arial" w:hAnsi="Arial" w:cs="Arial"/>
          <w:b/>
          <w:color w:val="44546A" w:themeColor="text2"/>
          <w:sz w:val="32"/>
          <w:szCs w:val="24"/>
          <w:u w:val="single"/>
        </w:rPr>
        <w:t>Medicina física y de rehabilitación</w:t>
      </w:r>
      <w:r w:rsidR="007964B0" w:rsidRPr="007964B0">
        <w:rPr>
          <w:rFonts w:ascii="Arial" w:hAnsi="Arial" w:cs="Arial"/>
          <w:b/>
          <w:color w:val="44546A" w:themeColor="text2"/>
          <w:sz w:val="32"/>
          <w:szCs w:val="24"/>
          <w:u w:val="single"/>
        </w:rPr>
        <w:t>.</w:t>
      </w:r>
    </w:p>
    <w:p w:rsidR="008925A8" w:rsidRPr="008925A8" w:rsidRDefault="008925A8" w:rsidP="00B23BFC">
      <w:pPr>
        <w:spacing w:line="360" w:lineRule="auto"/>
        <w:contextualSpacing/>
        <w:jc w:val="center"/>
        <w:rPr>
          <w:rFonts w:ascii="Arial" w:hAnsi="Arial" w:cs="Arial"/>
          <w:b/>
          <w:color w:val="44546A" w:themeColor="text2"/>
          <w:sz w:val="28"/>
          <w:szCs w:val="24"/>
        </w:rPr>
      </w:pPr>
    </w:p>
    <w:p w:rsidR="00B23BFC" w:rsidRDefault="009C4293" w:rsidP="00B23BFC">
      <w:pPr>
        <w:spacing w:line="360" w:lineRule="auto"/>
        <w:contextualSpacing/>
        <w:jc w:val="center"/>
        <w:rPr>
          <w:rFonts w:ascii="Arial" w:hAnsi="Arial" w:cs="Arial"/>
          <w:b/>
          <w:color w:val="44546A" w:themeColor="text2"/>
          <w:sz w:val="28"/>
          <w:szCs w:val="24"/>
        </w:rPr>
      </w:pPr>
      <w:r w:rsidRPr="008925A8">
        <w:rPr>
          <w:rFonts w:ascii="Arial" w:hAnsi="Arial" w:cs="Arial"/>
          <w:b/>
          <w:color w:val="44546A" w:themeColor="text2"/>
          <w:sz w:val="28"/>
          <w:szCs w:val="24"/>
        </w:rPr>
        <w:t>Trabajo</w:t>
      </w:r>
      <w:r w:rsidR="00B23BFC" w:rsidRPr="008925A8">
        <w:rPr>
          <w:rFonts w:ascii="Arial" w:hAnsi="Arial" w:cs="Arial"/>
          <w:b/>
          <w:color w:val="44546A" w:themeColor="text2"/>
          <w:sz w:val="28"/>
          <w:szCs w:val="24"/>
        </w:rPr>
        <w:t xml:space="preserve">: </w:t>
      </w:r>
    </w:p>
    <w:p w:rsidR="007964B0" w:rsidRPr="00217A21" w:rsidRDefault="00547C77" w:rsidP="00B23BFC">
      <w:pPr>
        <w:spacing w:line="360" w:lineRule="auto"/>
        <w:contextualSpacing/>
        <w:jc w:val="center"/>
        <w:rPr>
          <w:rFonts w:ascii="Arial" w:hAnsi="Arial" w:cs="Arial"/>
          <w:b/>
          <w:color w:val="44546A" w:themeColor="text2"/>
          <w:sz w:val="32"/>
          <w:szCs w:val="24"/>
          <w:u w:val="single"/>
        </w:rPr>
      </w:pPr>
      <w:r>
        <w:rPr>
          <w:rFonts w:ascii="Arial" w:hAnsi="Arial" w:cs="Arial"/>
          <w:b/>
          <w:color w:val="44546A" w:themeColor="text2"/>
          <w:sz w:val="32"/>
          <w:szCs w:val="24"/>
          <w:u w:val="single"/>
        </w:rPr>
        <w:t>“Lectura y resumen”</w:t>
      </w:r>
      <w:r w:rsidR="007964B0" w:rsidRPr="00217A21">
        <w:rPr>
          <w:rFonts w:ascii="Arial" w:hAnsi="Arial" w:cs="Arial"/>
          <w:b/>
          <w:color w:val="44546A" w:themeColor="text2"/>
          <w:sz w:val="32"/>
          <w:szCs w:val="24"/>
          <w:u w:val="single"/>
        </w:rPr>
        <w:t>.</w:t>
      </w:r>
    </w:p>
    <w:p w:rsidR="00F7074D" w:rsidRPr="00217A21" w:rsidRDefault="00F7074D" w:rsidP="00F7074D">
      <w:pPr>
        <w:spacing w:line="360" w:lineRule="auto"/>
        <w:contextualSpacing/>
        <w:rPr>
          <w:rFonts w:ascii="Arial" w:hAnsi="Arial" w:cs="Arial"/>
          <w:b/>
          <w:color w:val="44546A" w:themeColor="text2"/>
          <w:sz w:val="44"/>
          <w:szCs w:val="24"/>
          <w:u w:val="single"/>
        </w:rPr>
      </w:pPr>
    </w:p>
    <w:p w:rsidR="007964B0" w:rsidRPr="008925A8" w:rsidRDefault="007964B0" w:rsidP="00F7074D">
      <w:pPr>
        <w:spacing w:line="360" w:lineRule="auto"/>
        <w:contextualSpacing/>
        <w:rPr>
          <w:rFonts w:ascii="Arial" w:hAnsi="Arial" w:cs="Arial"/>
          <w:b/>
          <w:color w:val="44546A" w:themeColor="text2"/>
          <w:sz w:val="28"/>
          <w:szCs w:val="24"/>
        </w:rPr>
      </w:pPr>
    </w:p>
    <w:p w:rsidR="008C6ACE" w:rsidRPr="008925A8" w:rsidRDefault="008C6ACE" w:rsidP="00B23BFC">
      <w:pPr>
        <w:spacing w:line="360" w:lineRule="auto"/>
        <w:contextualSpacing/>
        <w:jc w:val="center"/>
        <w:rPr>
          <w:rFonts w:ascii="Arial" w:hAnsi="Arial" w:cs="Arial"/>
          <w:b/>
          <w:color w:val="44546A" w:themeColor="text2"/>
          <w:sz w:val="28"/>
          <w:szCs w:val="24"/>
        </w:rPr>
      </w:pPr>
      <w:r w:rsidRPr="008925A8">
        <w:rPr>
          <w:rFonts w:ascii="Arial" w:hAnsi="Arial" w:cs="Arial"/>
          <w:b/>
          <w:color w:val="44546A" w:themeColor="text2"/>
          <w:sz w:val="28"/>
          <w:szCs w:val="24"/>
        </w:rPr>
        <w:t xml:space="preserve">Docente: </w:t>
      </w:r>
    </w:p>
    <w:p w:rsidR="008925A8" w:rsidRPr="008925A8" w:rsidRDefault="00547C77" w:rsidP="008925A8">
      <w:pPr>
        <w:spacing w:line="360" w:lineRule="auto"/>
        <w:contextualSpacing/>
        <w:jc w:val="center"/>
        <w:rPr>
          <w:rFonts w:ascii="Arial" w:hAnsi="Arial" w:cs="Arial"/>
          <w:b/>
          <w:color w:val="44546A" w:themeColor="text2"/>
          <w:sz w:val="28"/>
          <w:szCs w:val="24"/>
          <w:u w:val="single"/>
        </w:rPr>
      </w:pPr>
      <w:r>
        <w:rPr>
          <w:rFonts w:ascii="Arial" w:hAnsi="Arial" w:cs="Arial"/>
          <w:b/>
          <w:color w:val="44546A" w:themeColor="text2"/>
          <w:sz w:val="28"/>
          <w:szCs w:val="24"/>
          <w:u w:val="single"/>
        </w:rPr>
        <w:t>Dr. Gerardo Gordillo Cancino</w:t>
      </w:r>
      <w:r w:rsidR="001922E0">
        <w:rPr>
          <w:rFonts w:ascii="Arial" w:hAnsi="Arial" w:cs="Arial"/>
          <w:b/>
          <w:color w:val="44546A" w:themeColor="text2"/>
          <w:sz w:val="28"/>
          <w:szCs w:val="24"/>
          <w:u w:val="single"/>
        </w:rPr>
        <w:t>.</w:t>
      </w:r>
    </w:p>
    <w:p w:rsidR="008C6ACE" w:rsidRDefault="008C6ACE" w:rsidP="008C6ACE">
      <w:pPr>
        <w:spacing w:line="360" w:lineRule="auto"/>
        <w:contextualSpacing/>
        <w:jc w:val="center"/>
        <w:rPr>
          <w:rFonts w:ascii="Arial" w:hAnsi="Arial" w:cs="Arial"/>
          <w:b/>
          <w:color w:val="44546A" w:themeColor="text2"/>
          <w:sz w:val="28"/>
          <w:szCs w:val="24"/>
        </w:rPr>
      </w:pPr>
    </w:p>
    <w:p w:rsidR="00F7074D" w:rsidRPr="008925A8" w:rsidRDefault="00F7074D" w:rsidP="008C6ACE">
      <w:pPr>
        <w:spacing w:line="360" w:lineRule="auto"/>
        <w:contextualSpacing/>
        <w:jc w:val="center"/>
        <w:rPr>
          <w:rFonts w:ascii="Arial" w:hAnsi="Arial" w:cs="Arial"/>
          <w:b/>
          <w:color w:val="44546A" w:themeColor="text2"/>
          <w:sz w:val="28"/>
          <w:szCs w:val="24"/>
        </w:rPr>
      </w:pPr>
    </w:p>
    <w:p w:rsidR="008C6ACE" w:rsidRPr="008925A8" w:rsidRDefault="008C6ACE" w:rsidP="008C6ACE">
      <w:pPr>
        <w:spacing w:line="360" w:lineRule="auto"/>
        <w:contextualSpacing/>
        <w:jc w:val="center"/>
        <w:rPr>
          <w:rFonts w:ascii="Arial" w:hAnsi="Arial" w:cs="Arial"/>
          <w:b/>
          <w:color w:val="44546A" w:themeColor="text2"/>
          <w:sz w:val="28"/>
          <w:szCs w:val="24"/>
        </w:rPr>
      </w:pPr>
      <w:r w:rsidRPr="008925A8">
        <w:rPr>
          <w:rFonts w:ascii="Arial" w:hAnsi="Arial" w:cs="Arial"/>
          <w:b/>
          <w:color w:val="44546A" w:themeColor="text2"/>
          <w:sz w:val="28"/>
          <w:szCs w:val="24"/>
        </w:rPr>
        <w:t xml:space="preserve">Alumno: </w:t>
      </w:r>
    </w:p>
    <w:p w:rsidR="00840A9D" w:rsidRDefault="00910BC4" w:rsidP="00330318">
      <w:pPr>
        <w:spacing w:after="160" w:line="259" w:lineRule="auto"/>
        <w:jc w:val="center"/>
        <w:rPr>
          <w:rFonts w:ascii="Arial" w:hAnsi="Arial" w:cs="Arial"/>
          <w:b/>
          <w:color w:val="44546A" w:themeColor="text2"/>
          <w:sz w:val="28"/>
          <w:szCs w:val="32"/>
          <w:u w:val="single"/>
        </w:rPr>
      </w:pPr>
      <w:r>
        <w:rPr>
          <w:rFonts w:ascii="Arial" w:hAnsi="Arial" w:cs="Arial"/>
          <w:b/>
          <w:color w:val="44546A" w:themeColor="text2"/>
          <w:sz w:val="28"/>
          <w:szCs w:val="32"/>
          <w:u w:val="single"/>
        </w:rPr>
        <w:t>Citlali Berenice Fernández Solís</w:t>
      </w:r>
      <w:r w:rsidR="00840A9D" w:rsidRPr="008925A8">
        <w:rPr>
          <w:rFonts w:ascii="Arial" w:hAnsi="Arial" w:cs="Arial"/>
          <w:b/>
          <w:color w:val="44546A" w:themeColor="text2"/>
          <w:sz w:val="28"/>
          <w:szCs w:val="32"/>
          <w:u w:val="single"/>
        </w:rPr>
        <w:t>.</w:t>
      </w:r>
    </w:p>
    <w:p w:rsidR="008925A8" w:rsidRPr="008925A8" w:rsidRDefault="008925A8" w:rsidP="00330318">
      <w:pPr>
        <w:spacing w:after="160" w:line="259" w:lineRule="auto"/>
        <w:jc w:val="center"/>
        <w:rPr>
          <w:rFonts w:ascii="Arial" w:hAnsi="Arial" w:cs="Arial"/>
          <w:b/>
          <w:color w:val="44546A" w:themeColor="text2"/>
          <w:sz w:val="24"/>
          <w:szCs w:val="32"/>
          <w:u w:val="single"/>
        </w:rPr>
      </w:pPr>
    </w:p>
    <w:p w:rsidR="008C6ACE" w:rsidRPr="008925A8" w:rsidRDefault="008C6ACE" w:rsidP="008C6ACE">
      <w:pPr>
        <w:spacing w:line="360" w:lineRule="auto"/>
        <w:contextualSpacing/>
        <w:jc w:val="center"/>
        <w:rPr>
          <w:rFonts w:ascii="Arial" w:hAnsi="Arial" w:cs="Arial"/>
          <w:b/>
          <w:color w:val="44546A" w:themeColor="text2"/>
          <w:sz w:val="28"/>
          <w:szCs w:val="24"/>
        </w:rPr>
      </w:pPr>
    </w:p>
    <w:p w:rsidR="008C6ACE" w:rsidRPr="008925A8" w:rsidRDefault="008C6ACE" w:rsidP="008C6ACE">
      <w:pPr>
        <w:spacing w:line="360" w:lineRule="auto"/>
        <w:contextualSpacing/>
        <w:jc w:val="center"/>
        <w:rPr>
          <w:rFonts w:ascii="Arial" w:hAnsi="Arial" w:cs="Arial"/>
          <w:b/>
          <w:color w:val="44546A" w:themeColor="text2"/>
          <w:sz w:val="28"/>
          <w:szCs w:val="24"/>
        </w:rPr>
      </w:pPr>
      <w:r w:rsidRPr="008925A8">
        <w:rPr>
          <w:rFonts w:ascii="Arial" w:hAnsi="Arial" w:cs="Arial"/>
          <w:b/>
          <w:color w:val="44546A" w:themeColor="text2"/>
          <w:sz w:val="28"/>
          <w:szCs w:val="24"/>
        </w:rPr>
        <w:t xml:space="preserve">Semestre y grupo: </w:t>
      </w:r>
    </w:p>
    <w:p w:rsidR="00B23BFC" w:rsidRDefault="00547C77" w:rsidP="008C6ACE">
      <w:pPr>
        <w:spacing w:line="360" w:lineRule="auto"/>
        <w:contextualSpacing/>
        <w:jc w:val="center"/>
        <w:rPr>
          <w:rFonts w:ascii="Arial" w:hAnsi="Arial" w:cs="Arial"/>
          <w:b/>
          <w:color w:val="44546A" w:themeColor="text2"/>
          <w:sz w:val="28"/>
          <w:szCs w:val="24"/>
          <w:u w:val="single"/>
        </w:rPr>
      </w:pPr>
      <w:r>
        <w:rPr>
          <w:rFonts w:ascii="Arial" w:hAnsi="Arial" w:cs="Arial"/>
          <w:b/>
          <w:color w:val="44546A" w:themeColor="text2"/>
          <w:sz w:val="28"/>
          <w:szCs w:val="24"/>
          <w:u w:val="single"/>
        </w:rPr>
        <w:t>5</w:t>
      </w:r>
      <w:r w:rsidR="008C6ACE" w:rsidRPr="008925A8">
        <w:rPr>
          <w:rFonts w:ascii="Arial" w:hAnsi="Arial" w:cs="Arial"/>
          <w:b/>
          <w:color w:val="44546A" w:themeColor="text2"/>
          <w:sz w:val="28"/>
          <w:szCs w:val="24"/>
          <w:u w:val="single"/>
        </w:rPr>
        <w:t>º “A”</w:t>
      </w:r>
    </w:p>
    <w:p w:rsidR="008925A8" w:rsidRPr="008925A8" w:rsidRDefault="008925A8" w:rsidP="008B07BD">
      <w:pPr>
        <w:spacing w:line="360" w:lineRule="auto"/>
        <w:contextualSpacing/>
        <w:rPr>
          <w:rFonts w:ascii="Arial" w:hAnsi="Arial" w:cs="Arial"/>
          <w:b/>
          <w:color w:val="44546A" w:themeColor="text2"/>
          <w:sz w:val="28"/>
          <w:szCs w:val="24"/>
          <w:u w:val="single"/>
        </w:rPr>
      </w:pPr>
    </w:p>
    <w:p w:rsidR="002315D4" w:rsidRPr="008925A8" w:rsidRDefault="002315D4" w:rsidP="00F7074D">
      <w:pPr>
        <w:spacing w:line="360" w:lineRule="auto"/>
        <w:contextualSpacing/>
        <w:jc w:val="right"/>
        <w:rPr>
          <w:rFonts w:ascii="Arial" w:hAnsi="Arial" w:cs="Arial"/>
          <w:b/>
          <w:color w:val="44546A" w:themeColor="text2"/>
          <w:sz w:val="28"/>
          <w:szCs w:val="24"/>
        </w:rPr>
      </w:pPr>
    </w:p>
    <w:p w:rsidR="00F7611D" w:rsidRDefault="000A4688" w:rsidP="000A4688">
      <w:pPr>
        <w:jc w:val="right"/>
        <w:rPr>
          <w:rFonts w:ascii="Arial" w:hAnsi="Arial" w:cs="Arial"/>
          <w:b/>
          <w:color w:val="44546A" w:themeColor="text2"/>
          <w:sz w:val="24"/>
        </w:rPr>
      </w:pPr>
      <w:r w:rsidRPr="00217A21">
        <w:rPr>
          <w:rFonts w:ascii="Arial" w:hAnsi="Arial" w:cs="Arial"/>
          <w:b/>
          <w:color w:val="44546A" w:themeColor="text2"/>
          <w:sz w:val="24"/>
        </w:rPr>
        <w:t>Com</w:t>
      </w:r>
      <w:r w:rsidR="00547C77">
        <w:rPr>
          <w:rFonts w:ascii="Arial" w:hAnsi="Arial" w:cs="Arial"/>
          <w:b/>
          <w:color w:val="44546A" w:themeColor="text2"/>
          <w:sz w:val="24"/>
        </w:rPr>
        <w:t>itán de Domínguez, Chiapas al 24 de febrero de 2021.</w:t>
      </w:r>
    </w:p>
    <w:p w:rsidR="00547C77" w:rsidRDefault="00547C77" w:rsidP="000A4688">
      <w:pPr>
        <w:jc w:val="right"/>
        <w:rPr>
          <w:rFonts w:ascii="Arial" w:hAnsi="Arial" w:cs="Arial"/>
          <w:b/>
          <w:color w:val="44546A" w:themeColor="text2"/>
          <w:sz w:val="24"/>
        </w:rPr>
      </w:pPr>
    </w:p>
    <w:p w:rsidR="00F96E2D" w:rsidRPr="00BF33C4" w:rsidRDefault="00BF33C4" w:rsidP="00BF33C4">
      <w:pPr>
        <w:jc w:val="center"/>
        <w:rPr>
          <w:rFonts w:ascii="Arial" w:hAnsi="Arial" w:cs="Arial"/>
          <w:b/>
          <w:color w:val="44546A" w:themeColor="text2"/>
          <w:sz w:val="24"/>
        </w:rPr>
      </w:pPr>
      <w:r w:rsidRPr="00BF33C4">
        <w:rPr>
          <w:rFonts w:ascii="Arial" w:hAnsi="Arial" w:cs="Arial"/>
          <w:b/>
          <w:color w:val="44546A" w:themeColor="text2"/>
          <w:sz w:val="24"/>
        </w:rPr>
        <w:lastRenderedPageBreak/>
        <w:t>MIOPATIAS INFLAMATORIAS IDIOPATICAS:</w:t>
      </w:r>
    </w:p>
    <w:p w:rsidR="00BF33C4" w:rsidRDefault="00BF33C4" w:rsidP="00BF33C4">
      <w:pPr>
        <w:spacing w:after="240" w:line="240" w:lineRule="auto"/>
        <w:jc w:val="both"/>
        <w:rPr>
          <w:rFonts w:ascii="Arial" w:eastAsia="Times New Roman" w:hAnsi="Arial" w:cs="Arial"/>
          <w:sz w:val="24"/>
          <w:szCs w:val="27"/>
          <w:lang w:eastAsia="es-MX"/>
        </w:rPr>
      </w:pPr>
      <w:r w:rsidRPr="00BF33C4">
        <w:rPr>
          <w:rFonts w:ascii="Arial" w:eastAsia="Times New Roman" w:hAnsi="Arial" w:cs="Arial"/>
          <w:sz w:val="24"/>
          <w:szCs w:val="27"/>
          <w:lang w:eastAsia="es-MX"/>
        </w:rPr>
        <w:t xml:space="preserve">Las miopatías inflamatorias son enfermedades con componente autoinmune que cursa con debilidad muscular, elevación de las enzimas musculares y patrón miopático en el electromiograma. </w:t>
      </w:r>
    </w:p>
    <w:p w:rsidR="00BF33C4" w:rsidRPr="00BF33C4" w:rsidRDefault="00BF33C4" w:rsidP="00BF33C4">
      <w:pPr>
        <w:spacing w:after="240" w:line="240" w:lineRule="auto"/>
        <w:jc w:val="both"/>
        <w:rPr>
          <w:rFonts w:ascii="Arial" w:eastAsia="Times New Roman" w:hAnsi="Arial" w:cs="Arial"/>
          <w:sz w:val="24"/>
          <w:szCs w:val="27"/>
          <w:lang w:eastAsia="es-MX"/>
        </w:rPr>
      </w:pPr>
      <w:r w:rsidRPr="00BF33C4">
        <w:rPr>
          <w:rFonts w:ascii="Arial" w:eastAsia="Times New Roman" w:hAnsi="Arial" w:cs="Arial"/>
          <w:sz w:val="24"/>
          <w:szCs w:val="27"/>
          <w:lang w:eastAsia="es-MX"/>
        </w:rPr>
        <w:t>Pueden presentarse de forma aislada o asociada a otras enfermedades autoinmunes como síndromes de superposición o relacionadas con neoplasias.</w:t>
      </w:r>
    </w:p>
    <w:p w:rsidR="00BF33C4" w:rsidRPr="00BF33C4" w:rsidRDefault="00BF33C4" w:rsidP="00BF33C4">
      <w:pPr>
        <w:spacing w:after="240" w:line="240" w:lineRule="auto"/>
        <w:jc w:val="both"/>
        <w:rPr>
          <w:rFonts w:ascii="Arial" w:eastAsia="Times New Roman" w:hAnsi="Arial" w:cs="Arial"/>
          <w:sz w:val="24"/>
          <w:szCs w:val="27"/>
          <w:lang w:eastAsia="es-MX"/>
        </w:rPr>
      </w:pPr>
      <w:r w:rsidRPr="00BF33C4">
        <w:rPr>
          <w:rFonts w:ascii="Arial" w:eastAsia="Times New Roman" w:hAnsi="Arial" w:cs="Arial"/>
          <w:sz w:val="24"/>
          <w:szCs w:val="27"/>
          <w:lang w:eastAsia="es-MX"/>
        </w:rPr>
        <w:t>Por su histología se clasifican en 4 formas que son: dermatomiositis, polimiositis, miositis por cuerpos de inclusión y miopatía necrotizante inmunomediada. La primera y la última presentan un componente de inmunidad humoral (células-B y complemento), mientras que la polimiositis y la miositis por cuerpos de inclusión estarían mediadas por células-T. En las formas con componente humoral es importante descartar su asociación con procesos neoplásicos.</w:t>
      </w:r>
    </w:p>
    <w:p w:rsidR="00BF33C4" w:rsidRDefault="00BF33C4" w:rsidP="00BF33C4">
      <w:pPr>
        <w:spacing w:after="240" w:line="240" w:lineRule="auto"/>
        <w:jc w:val="both"/>
        <w:rPr>
          <w:rFonts w:ascii="Arial" w:eastAsia="Times New Roman" w:hAnsi="Arial" w:cs="Arial"/>
          <w:sz w:val="24"/>
          <w:szCs w:val="27"/>
          <w:lang w:eastAsia="es-MX"/>
        </w:rPr>
      </w:pPr>
      <w:r w:rsidRPr="00BF33C4">
        <w:rPr>
          <w:rFonts w:ascii="Arial" w:eastAsia="Times New Roman" w:hAnsi="Arial" w:cs="Arial"/>
          <w:sz w:val="24"/>
          <w:szCs w:val="27"/>
          <w:lang w:eastAsia="es-MX"/>
        </w:rPr>
        <w:t>El tratamiento de estos pacientes se basa en la utilización de esteroides e inmunosupresores. Se utilizan inmunoglobulinas intravenosas en formas graves. La utilización de fármacos biológicos como rituximab parece ser prometedora en las formas mediadas por inmunidad humoral.</w:t>
      </w:r>
    </w:p>
    <w:p w:rsidR="00BF33C4" w:rsidRDefault="00BF33C4" w:rsidP="00BF33C4">
      <w:pPr>
        <w:spacing w:after="240" w:line="240" w:lineRule="auto"/>
        <w:jc w:val="both"/>
        <w:rPr>
          <w:rFonts w:ascii="Arial" w:hAnsi="Arial" w:cs="Arial"/>
          <w:sz w:val="24"/>
        </w:rPr>
      </w:pPr>
      <w:r w:rsidRPr="00BF33C4">
        <w:rPr>
          <w:rFonts w:ascii="Arial" w:hAnsi="Arial" w:cs="Arial"/>
          <w:sz w:val="24"/>
        </w:rPr>
        <w:t xml:space="preserve">Las enfermedades musculares son un desafío diagnóstico en la medicina actual: son un grupo de enfermedades heterogéneas, congénitas y adquiridas que afectan al músculo esquelético. </w:t>
      </w:r>
    </w:p>
    <w:p w:rsidR="00BF33C4" w:rsidRDefault="00BF33C4" w:rsidP="00BF33C4">
      <w:pPr>
        <w:spacing w:after="240" w:line="240" w:lineRule="auto"/>
        <w:jc w:val="both"/>
        <w:rPr>
          <w:rFonts w:ascii="Arial" w:hAnsi="Arial" w:cs="Arial"/>
          <w:sz w:val="24"/>
        </w:rPr>
      </w:pPr>
      <w:r w:rsidRPr="00BF33C4">
        <w:rPr>
          <w:rFonts w:ascii="Arial" w:hAnsi="Arial" w:cs="Arial"/>
          <w:sz w:val="24"/>
        </w:rPr>
        <w:t xml:space="preserve">La dificultad en el diagnóstico radica en que las miopatías, en general, son múltiples y presentan diferencias etiopatogénicas, clínicas e histológicas. Las neuromiopatías congénitas, que no tienen componente inflamatorio predominante, no serán desarrolladas en esta revisión. </w:t>
      </w:r>
    </w:p>
    <w:p w:rsidR="00BF33C4" w:rsidRDefault="00BF33C4" w:rsidP="00BF33C4">
      <w:pPr>
        <w:spacing w:after="240" w:line="240" w:lineRule="auto"/>
        <w:jc w:val="both"/>
        <w:rPr>
          <w:rFonts w:ascii="Arial" w:hAnsi="Arial" w:cs="Arial"/>
          <w:sz w:val="24"/>
        </w:rPr>
      </w:pPr>
      <w:r w:rsidRPr="00BF33C4">
        <w:rPr>
          <w:rFonts w:ascii="Arial" w:hAnsi="Arial" w:cs="Arial"/>
          <w:sz w:val="24"/>
        </w:rPr>
        <w:t xml:space="preserve">Dentro de ellas, las miopatías inflamatorias (MI) se </w:t>
      </w:r>
      <w:r w:rsidRPr="00BF33C4">
        <w:rPr>
          <w:rFonts w:ascii="Arial" w:hAnsi="Arial" w:cs="Arial"/>
          <w:sz w:val="24"/>
        </w:rPr>
        <w:t>caracteriza</w:t>
      </w:r>
      <w:r w:rsidRPr="00BF33C4">
        <w:rPr>
          <w:rFonts w:ascii="Arial" w:hAnsi="Arial" w:cs="Arial"/>
          <w:sz w:val="24"/>
        </w:rPr>
        <w:t xml:space="preserve"> por tener un patrón miopático en la electromiografía (EMG), elevación de enzimas musculares en suero, imágenes características por resonancia magnética (RM), inflamación en la biopsia y anticuerpos específicos detectables, en algunas de ellas. </w:t>
      </w:r>
    </w:p>
    <w:p w:rsidR="00BF33C4" w:rsidRDefault="00BF33C4" w:rsidP="00BF33C4">
      <w:pPr>
        <w:spacing w:after="240" w:line="240" w:lineRule="auto"/>
        <w:jc w:val="both"/>
        <w:rPr>
          <w:rFonts w:ascii="Arial" w:hAnsi="Arial" w:cs="Arial"/>
          <w:sz w:val="24"/>
        </w:rPr>
      </w:pPr>
      <w:r w:rsidRPr="00BF33C4">
        <w:rPr>
          <w:rFonts w:ascii="Arial" w:hAnsi="Arial" w:cs="Arial"/>
          <w:sz w:val="24"/>
        </w:rPr>
        <w:t>La etiología de las MI es habitualmente desconocida, factores infecciosos (virus, bacterias), drogas (estatinas, corticosteroides) y neoplasias pueden estar implicadas en el comienzo y desarrollo de la enfermedad.</w:t>
      </w:r>
      <w:r>
        <w:rPr>
          <w:rFonts w:ascii="Arial" w:hAnsi="Arial" w:cs="Arial"/>
          <w:sz w:val="24"/>
        </w:rPr>
        <w:t xml:space="preserve"> L</w:t>
      </w:r>
      <w:r w:rsidRPr="00BF33C4">
        <w:rPr>
          <w:rFonts w:ascii="Arial" w:hAnsi="Arial" w:cs="Arial"/>
          <w:sz w:val="24"/>
        </w:rPr>
        <w:t xml:space="preserve">os tipos de miopatías son de lo más variados, existen MI de causa desconocida, infecciosas, mitocondriales, tóxicas, endocrinometabólicas, congénitas y, además, forman parte también de este grupo, las distrofias musculares y las miotonías. </w:t>
      </w:r>
    </w:p>
    <w:p w:rsidR="00BF33C4" w:rsidRDefault="00BF33C4" w:rsidP="00BF33C4">
      <w:pPr>
        <w:spacing w:after="240" w:line="240" w:lineRule="auto"/>
        <w:jc w:val="both"/>
        <w:rPr>
          <w:rFonts w:ascii="Arial" w:hAnsi="Arial" w:cs="Arial"/>
          <w:sz w:val="24"/>
        </w:rPr>
      </w:pPr>
      <w:r w:rsidRPr="00BF33C4">
        <w:rPr>
          <w:rFonts w:ascii="Arial" w:hAnsi="Arial" w:cs="Arial"/>
          <w:sz w:val="24"/>
        </w:rPr>
        <w:t xml:space="preserve">Las miopatías inflamatorias idiopáticas (MII) tienen algún componente inmune y están implicados mecanismos de autoinmunidad celular y humoral. Se consideran autoinmunes por la presencia de autoanticuerpos presentes en el suero de varias de ellas y la presencia de infiltrados inflamatorios en los músculos afectados en los que predominan los linfocitos T. Datos genéticos como la vinculación al HLA DQB1 y polimorfismo del HLA DRB1” 0301, sobre todo en PM/DM, demuestran una </w:t>
      </w:r>
      <w:r w:rsidRPr="00BF33C4">
        <w:rPr>
          <w:rFonts w:ascii="Arial" w:hAnsi="Arial" w:cs="Arial"/>
          <w:sz w:val="24"/>
        </w:rPr>
        <w:lastRenderedPageBreak/>
        <w:t xml:space="preserve">predisposición genética. El avance reciente en el conocimiento y estudio de las miopatías ocurrió con el reconocimiento de las otras miopatías inflamatorias y las necrotizantes vinculadas a drogas (estatinas), la determinación de anticuerpos específicos (SRP, HMGCA) y el mayor conocimiento de las de origen genético relacionadas a depósito (enfermedad de Pompe entre otras); estas últimas no tienen componente inflamatorio y, por lo tanto, no se la incluye dentro de las miopatías inflamatorias. </w:t>
      </w:r>
    </w:p>
    <w:p w:rsidR="00BF33C4" w:rsidRDefault="00BF33C4" w:rsidP="00BF33C4">
      <w:pPr>
        <w:spacing w:after="240" w:line="240" w:lineRule="auto"/>
        <w:jc w:val="both"/>
        <w:rPr>
          <w:rFonts w:ascii="Arial" w:hAnsi="Arial" w:cs="Arial"/>
          <w:sz w:val="24"/>
        </w:rPr>
      </w:pPr>
      <w:r w:rsidRPr="00BF33C4">
        <w:rPr>
          <w:rFonts w:ascii="Arial" w:hAnsi="Arial" w:cs="Arial"/>
          <w:sz w:val="24"/>
        </w:rPr>
        <w:t xml:space="preserve">La afectación multiorgánica que incluye el tejido muscular obliga a que las MII sean evaluadas y tratadas por un equipo multidisciplinario (reumatólogo, clínico, neurólogo, cardiólogo, dermatólogo, etc). El diagnostico final de todo tipo de enfermedad muscular es histológico, pero hay desconocimiento en la mayor parte de los centros acerca del modo de recolección, preparación y estudio de las muestras, que incluye la interpretación de los resultados de las biopsias, para lo cual se requieren patólogos con mucha experiencia en el tema. </w:t>
      </w:r>
    </w:p>
    <w:p w:rsidR="00BF33C4" w:rsidRDefault="00BF33C4" w:rsidP="00BF33C4">
      <w:pPr>
        <w:spacing w:after="240" w:line="240" w:lineRule="auto"/>
        <w:jc w:val="both"/>
        <w:rPr>
          <w:rFonts w:ascii="Arial" w:hAnsi="Arial" w:cs="Arial"/>
          <w:sz w:val="24"/>
        </w:rPr>
      </w:pPr>
      <w:r w:rsidRPr="00BF33C4">
        <w:rPr>
          <w:rFonts w:ascii="Arial" w:hAnsi="Arial" w:cs="Arial"/>
          <w:sz w:val="24"/>
        </w:rPr>
        <w:t xml:space="preserve">La aproximación diagnóstica debe hacerse con experimentados conocimientos clínicos, estudios de laboratorio que incluyen análisis clínicos (reactantes de fase aguda, determinación de enzimas musculares y marcadores inmunológicos específicos), estudios por imágenes (RM), electrofisiológicos (EMG), genéticos e histológicos que incluyen microscopía óptica, electrónica, histoquímica e inmunohistoquímica. Habitualmente, las miopatías de patogenia inmune se caracterizan por ser procesos inflamatorios agudos o crónicos del músculo esquelético. Dentro de este grupo, las que tienen más relevancia son la dermatomiositis (DM), la polimiositis (PM), la miositis por cuerpos de inclusión (MCI) y la miopatía necrotizante autoinmune asociadas al uso de estatinas. </w:t>
      </w:r>
    </w:p>
    <w:p w:rsidR="00BF33C4" w:rsidRPr="00BF33C4" w:rsidRDefault="00BF33C4" w:rsidP="00BF33C4">
      <w:pPr>
        <w:spacing w:after="240" w:line="240" w:lineRule="auto"/>
        <w:jc w:val="both"/>
        <w:rPr>
          <w:rFonts w:ascii="Arial" w:eastAsia="Times New Roman" w:hAnsi="Arial" w:cs="Arial"/>
          <w:sz w:val="28"/>
          <w:szCs w:val="27"/>
          <w:lang w:eastAsia="es-MX"/>
        </w:rPr>
      </w:pPr>
      <w:bookmarkStart w:id="0" w:name="_GoBack"/>
      <w:bookmarkEnd w:id="0"/>
      <w:r w:rsidRPr="00BF33C4">
        <w:rPr>
          <w:rFonts w:ascii="Arial" w:hAnsi="Arial" w:cs="Arial"/>
          <w:sz w:val="24"/>
        </w:rPr>
        <w:t>Un tema de conflicto es la miopatía que se observa en el contexto de alguna enfermedad autoinmune sistémica como es el caso del lupus eritematoso sistémico (LES) o la esclerodermia sistémica (ESP); es habitual la presencia de MI en el síndrome de superposición o la enfermedad mixta del tejido conectivo; en estos casos es necesario valorar otros síntomas no musculares periféricos (cardiacos, nefropatía, lesión mucocutánea). Las MII pueden asociarse con lesiones malignas, lo cual se observa especialmente en pacientes con DM. El tratamiento depende del tipo de miopatía presente; la mayoría no tienen curación y solo son pasibles de tratamiento sintomático. Las relacionadas a autoinmunidad suelen responder a corticosteroides, inmunosupresores y, en ocasiones, a terapia biológica.</w:t>
      </w:r>
    </w:p>
    <w:p w:rsidR="00BF33C4" w:rsidRPr="00BF33C4" w:rsidRDefault="00BF33C4" w:rsidP="00BF33C4">
      <w:pPr>
        <w:jc w:val="both"/>
        <w:rPr>
          <w:rFonts w:ascii="Arial" w:hAnsi="Arial" w:cs="Arial"/>
          <w:sz w:val="24"/>
        </w:rPr>
      </w:pPr>
    </w:p>
    <w:sectPr w:rsidR="00BF33C4" w:rsidRPr="00BF33C4" w:rsidSect="00F7074D">
      <w:pgSz w:w="12240" w:h="15840" w:code="1"/>
      <w:pgMar w:top="1440" w:right="1440" w:bottom="1440" w:left="1440" w:header="709"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0E" w:rsidRDefault="00C4060E">
      <w:pPr>
        <w:spacing w:after="0" w:line="240" w:lineRule="auto"/>
      </w:pPr>
      <w:r>
        <w:separator/>
      </w:r>
    </w:p>
  </w:endnote>
  <w:endnote w:type="continuationSeparator" w:id="0">
    <w:p w:rsidR="00C4060E" w:rsidRDefault="00C4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0E" w:rsidRDefault="00C4060E">
      <w:pPr>
        <w:spacing w:after="0" w:line="240" w:lineRule="auto"/>
      </w:pPr>
      <w:r>
        <w:separator/>
      </w:r>
    </w:p>
  </w:footnote>
  <w:footnote w:type="continuationSeparator" w:id="0">
    <w:p w:rsidR="00C4060E" w:rsidRDefault="00C40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AAC"/>
    <w:multiLevelType w:val="hybridMultilevel"/>
    <w:tmpl w:val="3A32DB2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84233F"/>
    <w:multiLevelType w:val="hybridMultilevel"/>
    <w:tmpl w:val="E6ECA9FE"/>
    <w:lvl w:ilvl="0" w:tplc="955C6FA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13246F"/>
    <w:multiLevelType w:val="hybridMultilevel"/>
    <w:tmpl w:val="F8C2C0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2E6026"/>
    <w:multiLevelType w:val="hybridMultilevel"/>
    <w:tmpl w:val="44E69A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F43125"/>
    <w:multiLevelType w:val="hybridMultilevel"/>
    <w:tmpl w:val="341EF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0844AF"/>
    <w:multiLevelType w:val="hybridMultilevel"/>
    <w:tmpl w:val="47086F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CED5621"/>
    <w:multiLevelType w:val="hybridMultilevel"/>
    <w:tmpl w:val="E94C9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3675E9"/>
    <w:multiLevelType w:val="hybridMultilevel"/>
    <w:tmpl w:val="806AC9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A9302F"/>
    <w:multiLevelType w:val="hybridMultilevel"/>
    <w:tmpl w:val="D4846D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9259FB"/>
    <w:multiLevelType w:val="hybridMultilevel"/>
    <w:tmpl w:val="F01E52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0D50B3"/>
    <w:multiLevelType w:val="hybridMultilevel"/>
    <w:tmpl w:val="6F36CB2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A9C67B3"/>
    <w:multiLevelType w:val="hybridMultilevel"/>
    <w:tmpl w:val="08889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D42F6E"/>
    <w:multiLevelType w:val="hybridMultilevel"/>
    <w:tmpl w:val="AE186E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EF1444"/>
    <w:multiLevelType w:val="multilevel"/>
    <w:tmpl w:val="4C2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D7F86"/>
    <w:multiLevelType w:val="hybridMultilevel"/>
    <w:tmpl w:val="3272C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B40469"/>
    <w:multiLevelType w:val="hybridMultilevel"/>
    <w:tmpl w:val="B24A36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65F0594"/>
    <w:multiLevelType w:val="hybridMultilevel"/>
    <w:tmpl w:val="5232BB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3B011D"/>
    <w:multiLevelType w:val="hybridMultilevel"/>
    <w:tmpl w:val="6B4801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2241703"/>
    <w:multiLevelType w:val="hybridMultilevel"/>
    <w:tmpl w:val="FB7EC38A"/>
    <w:lvl w:ilvl="0" w:tplc="3C5AD538">
      <w:start w:val="1"/>
      <w:numFmt w:val="bullet"/>
      <w:lvlText w:val="•"/>
      <w:lvlJc w:val="left"/>
      <w:pPr>
        <w:tabs>
          <w:tab w:val="num" w:pos="720"/>
        </w:tabs>
        <w:ind w:left="720" w:hanging="360"/>
      </w:pPr>
      <w:rPr>
        <w:rFonts w:ascii="Arial" w:hAnsi="Arial" w:hint="default"/>
      </w:rPr>
    </w:lvl>
    <w:lvl w:ilvl="1" w:tplc="5336D8B2" w:tentative="1">
      <w:start w:val="1"/>
      <w:numFmt w:val="bullet"/>
      <w:lvlText w:val="•"/>
      <w:lvlJc w:val="left"/>
      <w:pPr>
        <w:tabs>
          <w:tab w:val="num" w:pos="1440"/>
        </w:tabs>
        <w:ind w:left="1440" w:hanging="360"/>
      </w:pPr>
      <w:rPr>
        <w:rFonts w:ascii="Arial" w:hAnsi="Arial" w:hint="default"/>
      </w:rPr>
    </w:lvl>
    <w:lvl w:ilvl="2" w:tplc="BD24A136" w:tentative="1">
      <w:start w:val="1"/>
      <w:numFmt w:val="bullet"/>
      <w:lvlText w:val="•"/>
      <w:lvlJc w:val="left"/>
      <w:pPr>
        <w:tabs>
          <w:tab w:val="num" w:pos="2160"/>
        </w:tabs>
        <w:ind w:left="2160" w:hanging="360"/>
      </w:pPr>
      <w:rPr>
        <w:rFonts w:ascii="Arial" w:hAnsi="Arial" w:hint="default"/>
      </w:rPr>
    </w:lvl>
    <w:lvl w:ilvl="3" w:tplc="2D7AE9C0" w:tentative="1">
      <w:start w:val="1"/>
      <w:numFmt w:val="bullet"/>
      <w:lvlText w:val="•"/>
      <w:lvlJc w:val="left"/>
      <w:pPr>
        <w:tabs>
          <w:tab w:val="num" w:pos="2880"/>
        </w:tabs>
        <w:ind w:left="2880" w:hanging="360"/>
      </w:pPr>
      <w:rPr>
        <w:rFonts w:ascii="Arial" w:hAnsi="Arial" w:hint="default"/>
      </w:rPr>
    </w:lvl>
    <w:lvl w:ilvl="4" w:tplc="155CCB3E" w:tentative="1">
      <w:start w:val="1"/>
      <w:numFmt w:val="bullet"/>
      <w:lvlText w:val="•"/>
      <w:lvlJc w:val="left"/>
      <w:pPr>
        <w:tabs>
          <w:tab w:val="num" w:pos="3600"/>
        </w:tabs>
        <w:ind w:left="3600" w:hanging="360"/>
      </w:pPr>
      <w:rPr>
        <w:rFonts w:ascii="Arial" w:hAnsi="Arial" w:hint="default"/>
      </w:rPr>
    </w:lvl>
    <w:lvl w:ilvl="5" w:tplc="A02E96BE" w:tentative="1">
      <w:start w:val="1"/>
      <w:numFmt w:val="bullet"/>
      <w:lvlText w:val="•"/>
      <w:lvlJc w:val="left"/>
      <w:pPr>
        <w:tabs>
          <w:tab w:val="num" w:pos="4320"/>
        </w:tabs>
        <w:ind w:left="4320" w:hanging="360"/>
      </w:pPr>
      <w:rPr>
        <w:rFonts w:ascii="Arial" w:hAnsi="Arial" w:hint="default"/>
      </w:rPr>
    </w:lvl>
    <w:lvl w:ilvl="6" w:tplc="81065476" w:tentative="1">
      <w:start w:val="1"/>
      <w:numFmt w:val="bullet"/>
      <w:lvlText w:val="•"/>
      <w:lvlJc w:val="left"/>
      <w:pPr>
        <w:tabs>
          <w:tab w:val="num" w:pos="5040"/>
        </w:tabs>
        <w:ind w:left="5040" w:hanging="360"/>
      </w:pPr>
      <w:rPr>
        <w:rFonts w:ascii="Arial" w:hAnsi="Arial" w:hint="default"/>
      </w:rPr>
    </w:lvl>
    <w:lvl w:ilvl="7" w:tplc="B39CDE64" w:tentative="1">
      <w:start w:val="1"/>
      <w:numFmt w:val="bullet"/>
      <w:lvlText w:val="•"/>
      <w:lvlJc w:val="left"/>
      <w:pPr>
        <w:tabs>
          <w:tab w:val="num" w:pos="5760"/>
        </w:tabs>
        <w:ind w:left="5760" w:hanging="360"/>
      </w:pPr>
      <w:rPr>
        <w:rFonts w:ascii="Arial" w:hAnsi="Arial" w:hint="default"/>
      </w:rPr>
    </w:lvl>
    <w:lvl w:ilvl="8" w:tplc="5516A4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01019F"/>
    <w:multiLevelType w:val="hybridMultilevel"/>
    <w:tmpl w:val="AEDEF7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8"/>
  </w:num>
  <w:num w:numId="3">
    <w:abstractNumId w:val="5"/>
  </w:num>
  <w:num w:numId="4">
    <w:abstractNumId w:val="3"/>
  </w:num>
  <w:num w:numId="5">
    <w:abstractNumId w:val="19"/>
  </w:num>
  <w:num w:numId="6">
    <w:abstractNumId w:val="12"/>
  </w:num>
  <w:num w:numId="7">
    <w:abstractNumId w:val="14"/>
  </w:num>
  <w:num w:numId="8">
    <w:abstractNumId w:val="2"/>
  </w:num>
  <w:num w:numId="9">
    <w:abstractNumId w:val="6"/>
  </w:num>
  <w:num w:numId="10">
    <w:abstractNumId w:val="4"/>
  </w:num>
  <w:num w:numId="11">
    <w:abstractNumId w:val="11"/>
  </w:num>
  <w:num w:numId="12">
    <w:abstractNumId w:val="16"/>
  </w:num>
  <w:num w:numId="13">
    <w:abstractNumId w:val="13"/>
  </w:num>
  <w:num w:numId="14">
    <w:abstractNumId w:val="7"/>
  </w:num>
  <w:num w:numId="15">
    <w:abstractNumId w:val="15"/>
  </w:num>
  <w:num w:numId="16">
    <w:abstractNumId w:val="10"/>
  </w:num>
  <w:num w:numId="17">
    <w:abstractNumId w:val="17"/>
  </w:num>
  <w:num w:numId="18">
    <w:abstractNumId w:val="9"/>
  </w:num>
  <w:num w:numId="19">
    <w:abstractNumId w:val="0"/>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FC"/>
    <w:rsid w:val="00004B1E"/>
    <w:rsid w:val="000071C6"/>
    <w:rsid w:val="000118F6"/>
    <w:rsid w:val="00016BF0"/>
    <w:rsid w:val="00016C58"/>
    <w:rsid w:val="00031151"/>
    <w:rsid w:val="000370D4"/>
    <w:rsid w:val="000648BC"/>
    <w:rsid w:val="000A4688"/>
    <w:rsid w:val="000B4165"/>
    <w:rsid w:val="000C2051"/>
    <w:rsid w:val="000D345D"/>
    <w:rsid w:val="000E1008"/>
    <w:rsid w:val="001006D5"/>
    <w:rsid w:val="001109BF"/>
    <w:rsid w:val="00120617"/>
    <w:rsid w:val="001214F2"/>
    <w:rsid w:val="00125334"/>
    <w:rsid w:val="00131218"/>
    <w:rsid w:val="00135CAA"/>
    <w:rsid w:val="00181537"/>
    <w:rsid w:val="001922E0"/>
    <w:rsid w:val="001B6179"/>
    <w:rsid w:val="001D13FF"/>
    <w:rsid w:val="001D27FB"/>
    <w:rsid w:val="001E72A3"/>
    <w:rsid w:val="001F1F56"/>
    <w:rsid w:val="001F56DF"/>
    <w:rsid w:val="00217A21"/>
    <w:rsid w:val="00221ABE"/>
    <w:rsid w:val="002315D4"/>
    <w:rsid w:val="00255CFE"/>
    <w:rsid w:val="00267A54"/>
    <w:rsid w:val="00274DF7"/>
    <w:rsid w:val="002A5E4D"/>
    <w:rsid w:val="002C2A83"/>
    <w:rsid w:val="002F733A"/>
    <w:rsid w:val="0031523B"/>
    <w:rsid w:val="00330318"/>
    <w:rsid w:val="003376EF"/>
    <w:rsid w:val="00365F76"/>
    <w:rsid w:val="00377A31"/>
    <w:rsid w:val="00394771"/>
    <w:rsid w:val="00395B76"/>
    <w:rsid w:val="003B6EB7"/>
    <w:rsid w:val="003E0AB8"/>
    <w:rsid w:val="003F3E7B"/>
    <w:rsid w:val="00403980"/>
    <w:rsid w:val="00404243"/>
    <w:rsid w:val="00404CF7"/>
    <w:rsid w:val="00421A21"/>
    <w:rsid w:val="004246D5"/>
    <w:rsid w:val="00432858"/>
    <w:rsid w:val="00436F42"/>
    <w:rsid w:val="004D3F03"/>
    <w:rsid w:val="004E7B18"/>
    <w:rsid w:val="005158CE"/>
    <w:rsid w:val="00542544"/>
    <w:rsid w:val="005473A0"/>
    <w:rsid w:val="00547C77"/>
    <w:rsid w:val="00573792"/>
    <w:rsid w:val="00577B5C"/>
    <w:rsid w:val="0058137D"/>
    <w:rsid w:val="005C4B4E"/>
    <w:rsid w:val="005C64D0"/>
    <w:rsid w:val="005D0141"/>
    <w:rsid w:val="005D7FF5"/>
    <w:rsid w:val="005E0148"/>
    <w:rsid w:val="005E32C4"/>
    <w:rsid w:val="005F2C82"/>
    <w:rsid w:val="00603A33"/>
    <w:rsid w:val="006771B1"/>
    <w:rsid w:val="006B6560"/>
    <w:rsid w:val="006C39AA"/>
    <w:rsid w:val="006D3005"/>
    <w:rsid w:val="006E7D3A"/>
    <w:rsid w:val="006E7DDC"/>
    <w:rsid w:val="00735D63"/>
    <w:rsid w:val="007964B0"/>
    <w:rsid w:val="007A1680"/>
    <w:rsid w:val="007C1689"/>
    <w:rsid w:val="007C7E16"/>
    <w:rsid w:val="007D5718"/>
    <w:rsid w:val="007F29FC"/>
    <w:rsid w:val="00812A84"/>
    <w:rsid w:val="0082780C"/>
    <w:rsid w:val="00840A9D"/>
    <w:rsid w:val="00842560"/>
    <w:rsid w:val="00877D19"/>
    <w:rsid w:val="008925A8"/>
    <w:rsid w:val="00897E13"/>
    <w:rsid w:val="008B07BD"/>
    <w:rsid w:val="008C6ACE"/>
    <w:rsid w:val="008D1A7F"/>
    <w:rsid w:val="008E671F"/>
    <w:rsid w:val="008F2621"/>
    <w:rsid w:val="0090779E"/>
    <w:rsid w:val="00910BC4"/>
    <w:rsid w:val="00912280"/>
    <w:rsid w:val="009140CD"/>
    <w:rsid w:val="009243A2"/>
    <w:rsid w:val="0093213A"/>
    <w:rsid w:val="00943CA8"/>
    <w:rsid w:val="00956E4C"/>
    <w:rsid w:val="0097634B"/>
    <w:rsid w:val="00995C96"/>
    <w:rsid w:val="009B1F78"/>
    <w:rsid w:val="009C4293"/>
    <w:rsid w:val="00A16D80"/>
    <w:rsid w:val="00A55E72"/>
    <w:rsid w:val="00A661E1"/>
    <w:rsid w:val="00A76854"/>
    <w:rsid w:val="00A97DD1"/>
    <w:rsid w:val="00AB289E"/>
    <w:rsid w:val="00AC24F0"/>
    <w:rsid w:val="00AD04B7"/>
    <w:rsid w:val="00AD2544"/>
    <w:rsid w:val="00AD6228"/>
    <w:rsid w:val="00B23BFC"/>
    <w:rsid w:val="00B31A79"/>
    <w:rsid w:val="00B70A75"/>
    <w:rsid w:val="00B729F9"/>
    <w:rsid w:val="00B770F3"/>
    <w:rsid w:val="00B90961"/>
    <w:rsid w:val="00BC46B5"/>
    <w:rsid w:val="00BE32AF"/>
    <w:rsid w:val="00BF33C4"/>
    <w:rsid w:val="00C12D80"/>
    <w:rsid w:val="00C222A8"/>
    <w:rsid w:val="00C4060E"/>
    <w:rsid w:val="00C57D6C"/>
    <w:rsid w:val="00C62CAF"/>
    <w:rsid w:val="00C71241"/>
    <w:rsid w:val="00C85E59"/>
    <w:rsid w:val="00CA49C8"/>
    <w:rsid w:val="00CA75ED"/>
    <w:rsid w:val="00CA7A6B"/>
    <w:rsid w:val="00CB1FB8"/>
    <w:rsid w:val="00CB5FC4"/>
    <w:rsid w:val="00CC09EB"/>
    <w:rsid w:val="00CE217C"/>
    <w:rsid w:val="00CF6B86"/>
    <w:rsid w:val="00D00414"/>
    <w:rsid w:val="00DC1527"/>
    <w:rsid w:val="00DE0F0A"/>
    <w:rsid w:val="00DE3EC7"/>
    <w:rsid w:val="00DE72EA"/>
    <w:rsid w:val="00E05417"/>
    <w:rsid w:val="00E1141F"/>
    <w:rsid w:val="00E272A2"/>
    <w:rsid w:val="00E373F2"/>
    <w:rsid w:val="00E73354"/>
    <w:rsid w:val="00EA2963"/>
    <w:rsid w:val="00EA567D"/>
    <w:rsid w:val="00EB08A1"/>
    <w:rsid w:val="00EB2E95"/>
    <w:rsid w:val="00EB5163"/>
    <w:rsid w:val="00EC29C0"/>
    <w:rsid w:val="00EE799D"/>
    <w:rsid w:val="00EF1A4F"/>
    <w:rsid w:val="00F11890"/>
    <w:rsid w:val="00F12AA8"/>
    <w:rsid w:val="00F13229"/>
    <w:rsid w:val="00F7074D"/>
    <w:rsid w:val="00F7562F"/>
    <w:rsid w:val="00F7611D"/>
    <w:rsid w:val="00F937AA"/>
    <w:rsid w:val="00F96E2D"/>
    <w:rsid w:val="00FC3A32"/>
    <w:rsid w:val="00FC6356"/>
    <w:rsid w:val="00FD5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D62F75-9C93-456A-B040-005542B0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FC"/>
    <w:pPr>
      <w:spacing w:after="200" w:line="276" w:lineRule="auto"/>
    </w:pPr>
    <w:rPr>
      <w:lang w:val="es-MX"/>
    </w:rPr>
  </w:style>
  <w:style w:type="paragraph" w:styleId="Ttulo1">
    <w:name w:val="heading 1"/>
    <w:basedOn w:val="Normal"/>
    <w:next w:val="Normal"/>
    <w:link w:val="Ttulo1Car"/>
    <w:uiPriority w:val="9"/>
    <w:qFormat/>
    <w:rsid w:val="00B23B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B23B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E0F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3BFC"/>
    <w:rPr>
      <w:rFonts w:asciiTheme="majorHAnsi" w:eastAsiaTheme="majorEastAsia" w:hAnsiTheme="majorHAnsi" w:cstheme="majorBidi"/>
      <w:b/>
      <w:bCs/>
      <w:color w:val="2E74B5" w:themeColor="accent1" w:themeShade="BF"/>
      <w:sz w:val="28"/>
      <w:szCs w:val="28"/>
      <w:lang w:val="es-MX"/>
    </w:rPr>
  </w:style>
  <w:style w:type="character" w:customStyle="1" w:styleId="Ttulo2Car">
    <w:name w:val="Título 2 Car"/>
    <w:basedOn w:val="Fuentedeprrafopredeter"/>
    <w:link w:val="Ttulo2"/>
    <w:uiPriority w:val="9"/>
    <w:semiHidden/>
    <w:rsid w:val="00B23BFC"/>
    <w:rPr>
      <w:rFonts w:asciiTheme="majorHAnsi" w:eastAsiaTheme="majorEastAsia" w:hAnsiTheme="majorHAnsi" w:cstheme="majorBidi"/>
      <w:color w:val="2E74B5" w:themeColor="accent1" w:themeShade="BF"/>
      <w:sz w:val="26"/>
      <w:szCs w:val="26"/>
      <w:lang w:val="es-MX"/>
    </w:rPr>
  </w:style>
  <w:style w:type="paragraph" w:styleId="Encabezado">
    <w:name w:val="header"/>
    <w:basedOn w:val="Normal"/>
    <w:link w:val="EncabezadoCar"/>
    <w:uiPriority w:val="99"/>
    <w:unhideWhenUsed/>
    <w:rsid w:val="00B23B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BFC"/>
    <w:rPr>
      <w:lang w:val="es-MX"/>
    </w:rPr>
  </w:style>
  <w:style w:type="paragraph" w:styleId="Piedepgina">
    <w:name w:val="footer"/>
    <w:basedOn w:val="Normal"/>
    <w:link w:val="PiedepginaCar"/>
    <w:uiPriority w:val="99"/>
    <w:unhideWhenUsed/>
    <w:rsid w:val="00B23B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BFC"/>
    <w:rPr>
      <w:lang w:val="es-MX"/>
    </w:rPr>
  </w:style>
  <w:style w:type="table" w:styleId="Tablaconcuadrcula">
    <w:name w:val="Table Grid"/>
    <w:basedOn w:val="Tablanormal"/>
    <w:uiPriority w:val="59"/>
    <w:rsid w:val="00B23BF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3BFC"/>
    <w:pPr>
      <w:ind w:left="720"/>
      <w:contextualSpacing/>
    </w:pPr>
  </w:style>
  <w:style w:type="paragraph" w:styleId="Puesto">
    <w:name w:val="Title"/>
    <w:basedOn w:val="Normal"/>
    <w:next w:val="Normal"/>
    <w:link w:val="PuestoCar"/>
    <w:uiPriority w:val="10"/>
    <w:qFormat/>
    <w:rsid w:val="00B23BF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B23BFC"/>
    <w:rPr>
      <w:rFonts w:asciiTheme="majorHAnsi" w:eastAsiaTheme="majorEastAsia" w:hAnsiTheme="majorHAnsi" w:cstheme="majorBidi"/>
      <w:color w:val="323E4F" w:themeColor="text2" w:themeShade="BF"/>
      <w:spacing w:val="5"/>
      <w:kern w:val="28"/>
      <w:sz w:val="52"/>
      <w:szCs w:val="52"/>
      <w:lang w:val="es-MX"/>
    </w:rPr>
  </w:style>
  <w:style w:type="character" w:styleId="Hipervnculo">
    <w:name w:val="Hyperlink"/>
    <w:basedOn w:val="Fuentedeprrafopredeter"/>
    <w:uiPriority w:val="99"/>
    <w:unhideWhenUsed/>
    <w:rsid w:val="009140CD"/>
    <w:rPr>
      <w:color w:val="0563C1" w:themeColor="hyperlink"/>
      <w:u w:val="single"/>
    </w:rPr>
  </w:style>
  <w:style w:type="paragraph" w:styleId="TDC1">
    <w:name w:val="toc 1"/>
    <w:basedOn w:val="Normal"/>
    <w:next w:val="Normal"/>
    <w:autoRedefine/>
    <w:uiPriority w:val="39"/>
    <w:unhideWhenUsed/>
    <w:rsid w:val="00394771"/>
    <w:pPr>
      <w:tabs>
        <w:tab w:val="right" w:leader="dot" w:pos="8828"/>
      </w:tabs>
      <w:spacing w:before="120" w:after="0" w:line="240" w:lineRule="auto"/>
    </w:pPr>
    <w:rPr>
      <w:rFonts w:ascii="Arial" w:hAnsi="Arial" w:cs="Arial"/>
      <w:b/>
      <w:caps/>
      <w:noProof/>
      <w:color w:val="000000" w:themeColor="text1"/>
      <w:lang w:val="es-ES_tradnl" w:eastAsia="es-ES_tradnl"/>
    </w:rPr>
  </w:style>
  <w:style w:type="paragraph" w:styleId="Textoindependiente">
    <w:name w:val="Body Text"/>
    <w:basedOn w:val="Normal"/>
    <w:link w:val="TextoindependienteCar"/>
    <w:uiPriority w:val="1"/>
    <w:qFormat/>
    <w:rsid w:val="008E671F"/>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8E671F"/>
    <w:rPr>
      <w:rFonts w:ascii="Arial" w:eastAsia="Arial" w:hAnsi="Arial" w:cs="Arial"/>
      <w:sz w:val="24"/>
      <w:szCs w:val="24"/>
      <w:lang w:eastAsia="es-ES" w:bidi="es-ES"/>
    </w:rPr>
  </w:style>
  <w:style w:type="paragraph" w:styleId="NormalWeb">
    <w:name w:val="Normal (Web)"/>
    <w:basedOn w:val="Normal"/>
    <w:uiPriority w:val="99"/>
    <w:unhideWhenUsed/>
    <w:rsid w:val="000071C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071C6"/>
    <w:rPr>
      <w:b/>
      <w:bCs/>
    </w:rPr>
  </w:style>
  <w:style w:type="character" w:styleId="nfasis">
    <w:name w:val="Emphasis"/>
    <w:basedOn w:val="Fuentedeprrafopredeter"/>
    <w:uiPriority w:val="20"/>
    <w:qFormat/>
    <w:rsid w:val="000071C6"/>
    <w:rPr>
      <w:i/>
      <w:iCs/>
    </w:rPr>
  </w:style>
  <w:style w:type="table" w:styleId="Tablanormal4">
    <w:name w:val="Plain Table 4"/>
    <w:basedOn w:val="Tablanormal"/>
    <w:uiPriority w:val="44"/>
    <w:rsid w:val="009763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6concolores-nfasis2">
    <w:name w:val="Grid Table 6 Colorful Accent 2"/>
    <w:basedOn w:val="Tablanormal"/>
    <w:uiPriority w:val="51"/>
    <w:rsid w:val="0097634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tulo3Car">
    <w:name w:val="Título 3 Car"/>
    <w:basedOn w:val="Fuentedeprrafopredeter"/>
    <w:link w:val="Ttulo3"/>
    <w:uiPriority w:val="9"/>
    <w:semiHidden/>
    <w:rsid w:val="00DE0F0A"/>
    <w:rPr>
      <w:rFonts w:asciiTheme="majorHAnsi" w:eastAsiaTheme="majorEastAsia" w:hAnsiTheme="majorHAnsi" w:cstheme="majorBidi"/>
      <w:color w:val="1F4D78"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1284">
      <w:bodyDiv w:val="1"/>
      <w:marLeft w:val="0"/>
      <w:marRight w:val="0"/>
      <w:marTop w:val="0"/>
      <w:marBottom w:val="0"/>
      <w:divBdr>
        <w:top w:val="none" w:sz="0" w:space="0" w:color="auto"/>
        <w:left w:val="none" w:sz="0" w:space="0" w:color="auto"/>
        <w:bottom w:val="none" w:sz="0" w:space="0" w:color="auto"/>
        <w:right w:val="none" w:sz="0" w:space="0" w:color="auto"/>
      </w:divBdr>
    </w:div>
    <w:div w:id="366489280">
      <w:bodyDiv w:val="1"/>
      <w:marLeft w:val="0"/>
      <w:marRight w:val="0"/>
      <w:marTop w:val="0"/>
      <w:marBottom w:val="0"/>
      <w:divBdr>
        <w:top w:val="none" w:sz="0" w:space="0" w:color="auto"/>
        <w:left w:val="none" w:sz="0" w:space="0" w:color="auto"/>
        <w:bottom w:val="none" w:sz="0" w:space="0" w:color="auto"/>
        <w:right w:val="none" w:sz="0" w:space="0" w:color="auto"/>
      </w:divBdr>
    </w:div>
    <w:div w:id="394401115">
      <w:bodyDiv w:val="1"/>
      <w:marLeft w:val="0"/>
      <w:marRight w:val="0"/>
      <w:marTop w:val="0"/>
      <w:marBottom w:val="0"/>
      <w:divBdr>
        <w:top w:val="none" w:sz="0" w:space="0" w:color="auto"/>
        <w:left w:val="none" w:sz="0" w:space="0" w:color="auto"/>
        <w:bottom w:val="none" w:sz="0" w:space="0" w:color="auto"/>
        <w:right w:val="none" w:sz="0" w:space="0" w:color="auto"/>
      </w:divBdr>
    </w:div>
    <w:div w:id="427237841">
      <w:bodyDiv w:val="1"/>
      <w:marLeft w:val="0"/>
      <w:marRight w:val="0"/>
      <w:marTop w:val="0"/>
      <w:marBottom w:val="0"/>
      <w:divBdr>
        <w:top w:val="none" w:sz="0" w:space="0" w:color="auto"/>
        <w:left w:val="none" w:sz="0" w:space="0" w:color="auto"/>
        <w:bottom w:val="none" w:sz="0" w:space="0" w:color="auto"/>
        <w:right w:val="none" w:sz="0" w:space="0" w:color="auto"/>
      </w:divBdr>
    </w:div>
    <w:div w:id="560747969">
      <w:bodyDiv w:val="1"/>
      <w:marLeft w:val="0"/>
      <w:marRight w:val="0"/>
      <w:marTop w:val="0"/>
      <w:marBottom w:val="0"/>
      <w:divBdr>
        <w:top w:val="none" w:sz="0" w:space="0" w:color="auto"/>
        <w:left w:val="none" w:sz="0" w:space="0" w:color="auto"/>
        <w:bottom w:val="none" w:sz="0" w:space="0" w:color="auto"/>
        <w:right w:val="none" w:sz="0" w:space="0" w:color="auto"/>
      </w:divBdr>
    </w:div>
    <w:div w:id="737826814">
      <w:bodyDiv w:val="1"/>
      <w:marLeft w:val="0"/>
      <w:marRight w:val="0"/>
      <w:marTop w:val="0"/>
      <w:marBottom w:val="0"/>
      <w:divBdr>
        <w:top w:val="none" w:sz="0" w:space="0" w:color="auto"/>
        <w:left w:val="none" w:sz="0" w:space="0" w:color="auto"/>
        <w:bottom w:val="none" w:sz="0" w:space="0" w:color="auto"/>
        <w:right w:val="none" w:sz="0" w:space="0" w:color="auto"/>
      </w:divBdr>
    </w:div>
    <w:div w:id="781605757">
      <w:bodyDiv w:val="1"/>
      <w:marLeft w:val="0"/>
      <w:marRight w:val="0"/>
      <w:marTop w:val="0"/>
      <w:marBottom w:val="0"/>
      <w:divBdr>
        <w:top w:val="none" w:sz="0" w:space="0" w:color="auto"/>
        <w:left w:val="none" w:sz="0" w:space="0" w:color="auto"/>
        <w:bottom w:val="none" w:sz="0" w:space="0" w:color="auto"/>
        <w:right w:val="none" w:sz="0" w:space="0" w:color="auto"/>
      </w:divBdr>
    </w:div>
    <w:div w:id="930938884">
      <w:bodyDiv w:val="1"/>
      <w:marLeft w:val="0"/>
      <w:marRight w:val="0"/>
      <w:marTop w:val="0"/>
      <w:marBottom w:val="0"/>
      <w:divBdr>
        <w:top w:val="none" w:sz="0" w:space="0" w:color="auto"/>
        <w:left w:val="none" w:sz="0" w:space="0" w:color="auto"/>
        <w:bottom w:val="none" w:sz="0" w:space="0" w:color="auto"/>
        <w:right w:val="none" w:sz="0" w:space="0" w:color="auto"/>
      </w:divBdr>
    </w:div>
    <w:div w:id="1072696523">
      <w:bodyDiv w:val="1"/>
      <w:marLeft w:val="0"/>
      <w:marRight w:val="0"/>
      <w:marTop w:val="0"/>
      <w:marBottom w:val="0"/>
      <w:divBdr>
        <w:top w:val="none" w:sz="0" w:space="0" w:color="auto"/>
        <w:left w:val="none" w:sz="0" w:space="0" w:color="auto"/>
        <w:bottom w:val="none" w:sz="0" w:space="0" w:color="auto"/>
        <w:right w:val="none" w:sz="0" w:space="0" w:color="auto"/>
      </w:divBdr>
    </w:div>
    <w:div w:id="1091390292">
      <w:bodyDiv w:val="1"/>
      <w:marLeft w:val="0"/>
      <w:marRight w:val="0"/>
      <w:marTop w:val="0"/>
      <w:marBottom w:val="0"/>
      <w:divBdr>
        <w:top w:val="none" w:sz="0" w:space="0" w:color="auto"/>
        <w:left w:val="none" w:sz="0" w:space="0" w:color="auto"/>
        <w:bottom w:val="none" w:sz="0" w:space="0" w:color="auto"/>
        <w:right w:val="none" w:sz="0" w:space="0" w:color="auto"/>
      </w:divBdr>
    </w:div>
    <w:div w:id="1113592425">
      <w:bodyDiv w:val="1"/>
      <w:marLeft w:val="0"/>
      <w:marRight w:val="0"/>
      <w:marTop w:val="0"/>
      <w:marBottom w:val="0"/>
      <w:divBdr>
        <w:top w:val="none" w:sz="0" w:space="0" w:color="auto"/>
        <w:left w:val="none" w:sz="0" w:space="0" w:color="auto"/>
        <w:bottom w:val="none" w:sz="0" w:space="0" w:color="auto"/>
        <w:right w:val="none" w:sz="0" w:space="0" w:color="auto"/>
      </w:divBdr>
    </w:div>
    <w:div w:id="1249002303">
      <w:bodyDiv w:val="1"/>
      <w:marLeft w:val="0"/>
      <w:marRight w:val="0"/>
      <w:marTop w:val="0"/>
      <w:marBottom w:val="0"/>
      <w:divBdr>
        <w:top w:val="none" w:sz="0" w:space="0" w:color="auto"/>
        <w:left w:val="none" w:sz="0" w:space="0" w:color="auto"/>
        <w:bottom w:val="none" w:sz="0" w:space="0" w:color="auto"/>
        <w:right w:val="none" w:sz="0" w:space="0" w:color="auto"/>
      </w:divBdr>
    </w:div>
    <w:div w:id="1407652778">
      <w:bodyDiv w:val="1"/>
      <w:marLeft w:val="0"/>
      <w:marRight w:val="0"/>
      <w:marTop w:val="0"/>
      <w:marBottom w:val="0"/>
      <w:divBdr>
        <w:top w:val="none" w:sz="0" w:space="0" w:color="auto"/>
        <w:left w:val="none" w:sz="0" w:space="0" w:color="auto"/>
        <w:bottom w:val="none" w:sz="0" w:space="0" w:color="auto"/>
        <w:right w:val="none" w:sz="0" w:space="0" w:color="auto"/>
      </w:divBdr>
      <w:divsChild>
        <w:div w:id="29116925">
          <w:marLeft w:val="446"/>
          <w:marRight w:val="0"/>
          <w:marTop w:val="0"/>
          <w:marBottom w:val="0"/>
          <w:divBdr>
            <w:top w:val="none" w:sz="0" w:space="0" w:color="auto"/>
            <w:left w:val="none" w:sz="0" w:space="0" w:color="auto"/>
            <w:bottom w:val="none" w:sz="0" w:space="0" w:color="auto"/>
            <w:right w:val="none" w:sz="0" w:space="0" w:color="auto"/>
          </w:divBdr>
        </w:div>
        <w:div w:id="1327589192">
          <w:marLeft w:val="446"/>
          <w:marRight w:val="0"/>
          <w:marTop w:val="0"/>
          <w:marBottom w:val="0"/>
          <w:divBdr>
            <w:top w:val="none" w:sz="0" w:space="0" w:color="auto"/>
            <w:left w:val="none" w:sz="0" w:space="0" w:color="auto"/>
            <w:bottom w:val="none" w:sz="0" w:space="0" w:color="auto"/>
            <w:right w:val="none" w:sz="0" w:space="0" w:color="auto"/>
          </w:divBdr>
        </w:div>
      </w:divsChild>
    </w:div>
    <w:div w:id="1419593100">
      <w:bodyDiv w:val="1"/>
      <w:marLeft w:val="0"/>
      <w:marRight w:val="0"/>
      <w:marTop w:val="0"/>
      <w:marBottom w:val="0"/>
      <w:divBdr>
        <w:top w:val="none" w:sz="0" w:space="0" w:color="auto"/>
        <w:left w:val="none" w:sz="0" w:space="0" w:color="auto"/>
        <w:bottom w:val="none" w:sz="0" w:space="0" w:color="auto"/>
        <w:right w:val="none" w:sz="0" w:space="0" w:color="auto"/>
      </w:divBdr>
    </w:div>
    <w:div w:id="1497266452">
      <w:bodyDiv w:val="1"/>
      <w:marLeft w:val="0"/>
      <w:marRight w:val="0"/>
      <w:marTop w:val="0"/>
      <w:marBottom w:val="0"/>
      <w:divBdr>
        <w:top w:val="none" w:sz="0" w:space="0" w:color="auto"/>
        <w:left w:val="none" w:sz="0" w:space="0" w:color="auto"/>
        <w:bottom w:val="none" w:sz="0" w:space="0" w:color="auto"/>
        <w:right w:val="none" w:sz="0" w:space="0" w:color="auto"/>
      </w:divBdr>
    </w:div>
    <w:div w:id="1511749536">
      <w:bodyDiv w:val="1"/>
      <w:marLeft w:val="0"/>
      <w:marRight w:val="0"/>
      <w:marTop w:val="0"/>
      <w:marBottom w:val="0"/>
      <w:divBdr>
        <w:top w:val="none" w:sz="0" w:space="0" w:color="auto"/>
        <w:left w:val="none" w:sz="0" w:space="0" w:color="auto"/>
        <w:bottom w:val="none" w:sz="0" w:space="0" w:color="auto"/>
        <w:right w:val="none" w:sz="0" w:space="0" w:color="auto"/>
      </w:divBdr>
    </w:div>
    <w:div w:id="1581597232">
      <w:bodyDiv w:val="1"/>
      <w:marLeft w:val="0"/>
      <w:marRight w:val="0"/>
      <w:marTop w:val="0"/>
      <w:marBottom w:val="0"/>
      <w:divBdr>
        <w:top w:val="none" w:sz="0" w:space="0" w:color="auto"/>
        <w:left w:val="none" w:sz="0" w:space="0" w:color="auto"/>
        <w:bottom w:val="none" w:sz="0" w:space="0" w:color="auto"/>
        <w:right w:val="none" w:sz="0" w:space="0" w:color="auto"/>
      </w:divBdr>
    </w:div>
    <w:div w:id="1596356466">
      <w:bodyDiv w:val="1"/>
      <w:marLeft w:val="0"/>
      <w:marRight w:val="0"/>
      <w:marTop w:val="0"/>
      <w:marBottom w:val="0"/>
      <w:divBdr>
        <w:top w:val="none" w:sz="0" w:space="0" w:color="auto"/>
        <w:left w:val="none" w:sz="0" w:space="0" w:color="auto"/>
        <w:bottom w:val="none" w:sz="0" w:space="0" w:color="auto"/>
        <w:right w:val="none" w:sz="0" w:space="0" w:color="auto"/>
      </w:divBdr>
    </w:div>
    <w:div w:id="1675914864">
      <w:bodyDiv w:val="1"/>
      <w:marLeft w:val="0"/>
      <w:marRight w:val="0"/>
      <w:marTop w:val="0"/>
      <w:marBottom w:val="0"/>
      <w:divBdr>
        <w:top w:val="none" w:sz="0" w:space="0" w:color="auto"/>
        <w:left w:val="none" w:sz="0" w:space="0" w:color="auto"/>
        <w:bottom w:val="none" w:sz="0" w:space="0" w:color="auto"/>
        <w:right w:val="none" w:sz="0" w:space="0" w:color="auto"/>
      </w:divBdr>
    </w:div>
    <w:div w:id="1869829605">
      <w:bodyDiv w:val="1"/>
      <w:marLeft w:val="0"/>
      <w:marRight w:val="0"/>
      <w:marTop w:val="0"/>
      <w:marBottom w:val="0"/>
      <w:divBdr>
        <w:top w:val="none" w:sz="0" w:space="0" w:color="auto"/>
        <w:left w:val="none" w:sz="0" w:space="0" w:color="auto"/>
        <w:bottom w:val="none" w:sz="0" w:space="0" w:color="auto"/>
        <w:right w:val="none" w:sz="0" w:space="0" w:color="auto"/>
      </w:divBdr>
    </w:div>
    <w:div w:id="1945186270">
      <w:bodyDiv w:val="1"/>
      <w:marLeft w:val="0"/>
      <w:marRight w:val="0"/>
      <w:marTop w:val="0"/>
      <w:marBottom w:val="0"/>
      <w:divBdr>
        <w:top w:val="none" w:sz="0" w:space="0" w:color="auto"/>
        <w:left w:val="none" w:sz="0" w:space="0" w:color="auto"/>
        <w:bottom w:val="none" w:sz="0" w:space="0" w:color="auto"/>
        <w:right w:val="none" w:sz="0" w:space="0" w:color="auto"/>
      </w:divBdr>
    </w:div>
    <w:div w:id="20400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C4206-6D19-4A2C-926A-70E8315B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 CANO RIVERA</dc:creator>
  <cp:keywords/>
  <dc:description/>
  <cp:lastModifiedBy>pc</cp:lastModifiedBy>
  <cp:revision>2</cp:revision>
  <cp:lastPrinted>2020-04-25T03:17:00Z</cp:lastPrinted>
  <dcterms:created xsi:type="dcterms:W3CDTF">2021-02-24T18:25:00Z</dcterms:created>
  <dcterms:modified xsi:type="dcterms:W3CDTF">2021-02-24T18:25:00Z</dcterms:modified>
</cp:coreProperties>
</file>