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15D49" w14:textId="77777777" w:rsidR="00F421C3" w:rsidRDefault="00F421C3">
      <w:pPr>
        <w:rPr>
          <w:sz w:val="56"/>
        </w:rPr>
      </w:pPr>
      <w:r>
        <w:rPr>
          <w:noProof/>
          <w:sz w:val="56"/>
          <w:lang w:val="es-ES" w:eastAsia="es-ES"/>
        </w:rPr>
        <w:drawing>
          <wp:anchor distT="0" distB="0" distL="114300" distR="114300" simplePos="0" relativeHeight="251658240" behindDoc="0" locked="0" layoutInCell="1" allowOverlap="1" wp14:anchorId="716E4AB9" wp14:editId="20A4E2E0">
            <wp:simplePos x="0" y="0"/>
            <wp:positionH relativeFrom="column">
              <wp:posOffset>-848995</wp:posOffset>
            </wp:positionH>
            <wp:positionV relativeFrom="paragraph">
              <wp:posOffset>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4A09F" w14:textId="77777777" w:rsidR="00F421C3" w:rsidRDefault="00F421C3" w:rsidP="00F421C3">
      <w:pPr>
        <w:spacing w:line="240" w:lineRule="auto"/>
        <w:rPr>
          <w:rFonts w:ascii="Century Gothic" w:hAnsi="Century Gothic"/>
          <w:sz w:val="48"/>
        </w:rPr>
      </w:pPr>
    </w:p>
    <w:p w14:paraId="4B82CB34" w14:textId="77777777" w:rsidR="00413168" w:rsidRPr="00B9722A" w:rsidRDefault="00B9722A" w:rsidP="00B9722A">
      <w:pPr>
        <w:spacing w:line="240" w:lineRule="auto"/>
        <w:jc w:val="center"/>
        <w:rPr>
          <w:rFonts w:ascii="Century Gothic" w:hAnsi="Century Gothic"/>
          <w:b/>
          <w:color w:val="1F3864" w:themeColor="accent5" w:themeShade="80"/>
          <w:sz w:val="40"/>
          <w:szCs w:val="40"/>
        </w:rPr>
      </w:pPr>
      <w:r w:rsidRPr="00B9722A">
        <w:rPr>
          <w:rFonts w:ascii="Century Gothic" w:hAnsi="Century Gothic"/>
          <w:b/>
          <w:color w:val="1F3864" w:themeColor="accent5" w:themeShade="80"/>
          <w:sz w:val="40"/>
          <w:szCs w:val="40"/>
        </w:rPr>
        <w:t>NOMBRE DEL ALUMNO:</w:t>
      </w:r>
    </w:p>
    <w:p w14:paraId="73BA62C1" w14:textId="25A2F78F" w:rsidR="00F421C3" w:rsidRPr="00B10BF2" w:rsidRDefault="00356014" w:rsidP="00B9722A">
      <w:pPr>
        <w:spacing w:line="240" w:lineRule="auto"/>
        <w:jc w:val="center"/>
        <w:rPr>
          <w:rFonts w:ascii="Century Gothic" w:hAnsi="Century Gothic"/>
          <w:b/>
          <w:color w:val="1F3864" w:themeColor="accent5" w:themeShade="80"/>
          <w:sz w:val="32"/>
          <w:szCs w:val="32"/>
        </w:rPr>
      </w:pPr>
      <w:r>
        <w:rPr>
          <w:rFonts w:ascii="Century Gothic" w:hAnsi="Century Gothic"/>
          <w:b/>
          <w:color w:val="1F3864" w:themeColor="accent5" w:themeShade="80"/>
          <w:sz w:val="32"/>
          <w:szCs w:val="32"/>
        </w:rPr>
        <w:t>YOSMAI JUAREZ SANTIZO</w:t>
      </w:r>
    </w:p>
    <w:p w14:paraId="506B7049" w14:textId="05F65B3F" w:rsidR="00F421C3" w:rsidRDefault="00B9722A" w:rsidP="00B9722A">
      <w:pPr>
        <w:spacing w:line="240" w:lineRule="auto"/>
        <w:jc w:val="center"/>
        <w:rPr>
          <w:rFonts w:ascii="Century Gothic" w:hAnsi="Century Gothic"/>
          <w:b/>
          <w:color w:val="1F3864" w:themeColor="accent5" w:themeShade="80"/>
          <w:sz w:val="40"/>
          <w:szCs w:val="40"/>
        </w:rPr>
      </w:pPr>
      <w:r w:rsidRPr="00B9722A">
        <w:rPr>
          <w:rFonts w:ascii="Century Gothic" w:hAnsi="Century Gothic"/>
          <w:b/>
          <w:color w:val="1F3864" w:themeColor="accent5" w:themeShade="80"/>
          <w:sz w:val="40"/>
          <w:szCs w:val="40"/>
        </w:rPr>
        <w:t>NOMBRE DEL PROFESOR:</w:t>
      </w:r>
    </w:p>
    <w:p w14:paraId="44BF8932" w14:textId="3AA58744" w:rsidR="00F421C3" w:rsidRPr="00B10BF2" w:rsidRDefault="00C561EC" w:rsidP="00C561EC">
      <w:pPr>
        <w:spacing w:line="240" w:lineRule="auto"/>
        <w:jc w:val="center"/>
        <w:rPr>
          <w:rFonts w:ascii="Century Gothic" w:hAnsi="Century Gothic"/>
          <w:b/>
          <w:color w:val="1F3864" w:themeColor="accent5" w:themeShade="80"/>
          <w:sz w:val="32"/>
          <w:szCs w:val="32"/>
        </w:rPr>
      </w:pPr>
      <w:r w:rsidRPr="00B10BF2">
        <w:rPr>
          <w:rFonts w:ascii="Century Gothic" w:hAnsi="Century Gothic"/>
          <w:b/>
          <w:color w:val="1F3864" w:themeColor="accent5" w:themeShade="80"/>
          <w:sz w:val="32"/>
          <w:szCs w:val="32"/>
        </w:rPr>
        <w:t xml:space="preserve">LIC. ELISA PEREZ </w:t>
      </w:r>
      <w:r w:rsidR="00F421C3" w:rsidRPr="00B10BF2">
        <w:rPr>
          <w:rFonts w:ascii="Century Gothic" w:hAnsi="Century Gothic"/>
          <w:noProof/>
          <w:color w:val="1F3864" w:themeColor="accent5" w:themeShade="80"/>
          <w:sz w:val="32"/>
          <w:szCs w:val="32"/>
          <w:lang w:val="es-ES" w:eastAsia="es-ES"/>
        </w:rPr>
        <w:drawing>
          <wp:anchor distT="0" distB="0" distL="114300" distR="114300" simplePos="0" relativeHeight="251659264" behindDoc="1" locked="0" layoutInCell="1" allowOverlap="1" wp14:anchorId="321A109F" wp14:editId="2CFC82EC">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FF137E" w14:textId="77777777" w:rsidR="005B1757" w:rsidRPr="00B9722A" w:rsidRDefault="00B9722A" w:rsidP="00B9722A">
      <w:pPr>
        <w:spacing w:line="240" w:lineRule="auto"/>
        <w:jc w:val="center"/>
        <w:rPr>
          <w:rFonts w:ascii="Century Gothic" w:hAnsi="Century Gothic"/>
          <w:b/>
          <w:color w:val="1F3864" w:themeColor="accent5" w:themeShade="80"/>
          <w:sz w:val="40"/>
          <w:szCs w:val="40"/>
        </w:rPr>
      </w:pPr>
      <w:r w:rsidRPr="00B9722A">
        <w:rPr>
          <w:rFonts w:ascii="Century Gothic" w:hAnsi="Century Gothic"/>
          <w:b/>
          <w:color w:val="1F3864" w:themeColor="accent5" w:themeShade="80"/>
          <w:sz w:val="40"/>
          <w:szCs w:val="40"/>
        </w:rPr>
        <w:t>LICENCIATURA:</w:t>
      </w:r>
    </w:p>
    <w:p w14:paraId="0E9B7176" w14:textId="77777777" w:rsidR="005B1757" w:rsidRPr="00B10BF2" w:rsidRDefault="00A464CB" w:rsidP="00B9722A">
      <w:pPr>
        <w:spacing w:line="240" w:lineRule="auto"/>
        <w:jc w:val="center"/>
        <w:rPr>
          <w:rFonts w:ascii="Century Gothic" w:hAnsi="Century Gothic"/>
          <w:b/>
          <w:color w:val="1F3864" w:themeColor="accent5" w:themeShade="80"/>
          <w:sz w:val="28"/>
          <w:szCs w:val="28"/>
        </w:rPr>
      </w:pPr>
      <w:r w:rsidRPr="00B10BF2">
        <w:rPr>
          <w:rFonts w:ascii="Century Gothic" w:hAnsi="Century Gothic"/>
          <w:b/>
          <w:color w:val="1F3864" w:themeColor="accent5" w:themeShade="80"/>
          <w:sz w:val="28"/>
          <w:szCs w:val="28"/>
        </w:rPr>
        <w:t>ENFERMERÍA</w:t>
      </w:r>
    </w:p>
    <w:p w14:paraId="7C5C878B" w14:textId="77777777" w:rsidR="00B9722A" w:rsidRPr="00B9722A" w:rsidRDefault="00B9722A" w:rsidP="00B9722A">
      <w:pPr>
        <w:spacing w:line="240" w:lineRule="auto"/>
        <w:jc w:val="center"/>
        <w:rPr>
          <w:rFonts w:ascii="Century Gothic" w:hAnsi="Century Gothic"/>
          <w:b/>
          <w:color w:val="1F3864" w:themeColor="accent5" w:themeShade="80"/>
          <w:sz w:val="40"/>
          <w:szCs w:val="40"/>
        </w:rPr>
      </w:pPr>
      <w:r w:rsidRPr="00B9722A">
        <w:rPr>
          <w:rFonts w:ascii="Century Gothic" w:hAnsi="Century Gothic"/>
          <w:b/>
          <w:color w:val="1F3864" w:themeColor="accent5" w:themeShade="80"/>
          <w:sz w:val="40"/>
          <w:szCs w:val="40"/>
        </w:rPr>
        <w:t>MATERIA:</w:t>
      </w:r>
    </w:p>
    <w:p w14:paraId="04C8E1E0" w14:textId="79845058" w:rsidR="00B9722A" w:rsidRPr="00B10BF2" w:rsidRDefault="00C561EC" w:rsidP="00B9722A">
      <w:pPr>
        <w:spacing w:line="240" w:lineRule="auto"/>
        <w:jc w:val="center"/>
        <w:rPr>
          <w:rFonts w:ascii="Century Gothic" w:hAnsi="Century Gothic"/>
          <w:b/>
          <w:color w:val="1F3864" w:themeColor="accent5" w:themeShade="80"/>
          <w:sz w:val="28"/>
          <w:szCs w:val="28"/>
        </w:rPr>
      </w:pPr>
      <w:r w:rsidRPr="00B10BF2">
        <w:rPr>
          <w:rFonts w:ascii="Century Gothic" w:hAnsi="Century Gothic"/>
          <w:b/>
          <w:color w:val="1F3864" w:themeColor="accent5" w:themeShade="80"/>
          <w:sz w:val="28"/>
          <w:szCs w:val="28"/>
        </w:rPr>
        <w:t xml:space="preserve">SEMINARIO DE TESIS </w:t>
      </w:r>
    </w:p>
    <w:p w14:paraId="298E03F3" w14:textId="77777777" w:rsidR="00F421C3" w:rsidRPr="00B9722A" w:rsidRDefault="00B9722A" w:rsidP="00B9722A">
      <w:pPr>
        <w:spacing w:line="240" w:lineRule="auto"/>
        <w:jc w:val="center"/>
        <w:rPr>
          <w:rFonts w:ascii="Century Gothic" w:hAnsi="Century Gothic"/>
          <w:b/>
          <w:color w:val="1F3864" w:themeColor="accent5" w:themeShade="80"/>
          <w:sz w:val="40"/>
          <w:szCs w:val="40"/>
        </w:rPr>
      </w:pPr>
      <w:r w:rsidRPr="00B9722A">
        <w:rPr>
          <w:rFonts w:ascii="Century Gothic" w:hAnsi="Century Gothic"/>
          <w:b/>
          <w:color w:val="1F3864" w:themeColor="accent5" w:themeShade="80"/>
          <w:sz w:val="40"/>
          <w:szCs w:val="40"/>
        </w:rPr>
        <w:t>CUATRIMESTRE Y MODALIDAD:</w:t>
      </w:r>
    </w:p>
    <w:p w14:paraId="483A563F" w14:textId="77777777" w:rsidR="005B1757" w:rsidRPr="00B10BF2" w:rsidRDefault="00A464CB" w:rsidP="00B9722A">
      <w:pPr>
        <w:spacing w:line="240" w:lineRule="auto"/>
        <w:jc w:val="center"/>
        <w:rPr>
          <w:rFonts w:ascii="Century Gothic" w:hAnsi="Century Gothic"/>
          <w:b/>
          <w:color w:val="1F3864" w:themeColor="accent5" w:themeShade="80"/>
          <w:sz w:val="28"/>
          <w:szCs w:val="28"/>
        </w:rPr>
      </w:pPr>
      <w:r w:rsidRPr="00B10BF2">
        <w:rPr>
          <w:rFonts w:ascii="Century Gothic" w:hAnsi="Century Gothic"/>
          <w:b/>
          <w:color w:val="1F3864" w:themeColor="accent5" w:themeShade="80"/>
          <w:sz w:val="28"/>
          <w:szCs w:val="28"/>
        </w:rPr>
        <w:t>SÉPTIMO</w:t>
      </w:r>
      <w:r w:rsidR="00CC3A82" w:rsidRPr="00B10BF2">
        <w:rPr>
          <w:rFonts w:ascii="Century Gothic" w:hAnsi="Century Gothic"/>
          <w:b/>
          <w:color w:val="1F3864" w:themeColor="accent5" w:themeShade="80"/>
          <w:sz w:val="28"/>
          <w:szCs w:val="28"/>
        </w:rPr>
        <w:t xml:space="preserve"> “A”, ESCOLARIZADO</w:t>
      </w:r>
    </w:p>
    <w:p w14:paraId="010B87FB" w14:textId="77777777" w:rsidR="005B1757" w:rsidRPr="00B9722A" w:rsidRDefault="00B9722A" w:rsidP="00B9722A">
      <w:pPr>
        <w:spacing w:line="240" w:lineRule="auto"/>
        <w:jc w:val="center"/>
        <w:rPr>
          <w:rFonts w:ascii="Century Gothic" w:hAnsi="Century Gothic"/>
          <w:b/>
          <w:color w:val="1F3864" w:themeColor="accent5" w:themeShade="80"/>
          <w:sz w:val="40"/>
          <w:szCs w:val="40"/>
        </w:rPr>
      </w:pPr>
      <w:r w:rsidRPr="00B9722A">
        <w:rPr>
          <w:rFonts w:ascii="Century Gothic" w:hAnsi="Century Gothic"/>
          <w:b/>
          <w:color w:val="1F3864" w:themeColor="accent5" w:themeShade="80"/>
          <w:sz w:val="40"/>
          <w:szCs w:val="40"/>
        </w:rPr>
        <w:t>NOMBRE Y TEMA DEL TRABAJO:</w:t>
      </w:r>
    </w:p>
    <w:p w14:paraId="326C5A89" w14:textId="7A9B3E69" w:rsidR="005B1757" w:rsidRPr="00B10BF2" w:rsidRDefault="00722BD6" w:rsidP="00B10BF2">
      <w:pPr>
        <w:spacing w:line="240" w:lineRule="auto"/>
        <w:jc w:val="center"/>
        <w:rPr>
          <w:rFonts w:ascii="Century Gothic" w:hAnsi="Century Gothic"/>
          <w:b/>
          <w:color w:val="1F3864" w:themeColor="accent5" w:themeShade="80"/>
          <w:sz w:val="32"/>
          <w:szCs w:val="32"/>
        </w:rPr>
      </w:pPr>
      <w:r>
        <w:rPr>
          <w:rFonts w:ascii="Century Gothic" w:hAnsi="Century Gothic"/>
          <w:b/>
          <w:color w:val="1F3864" w:themeColor="accent5" w:themeShade="80"/>
          <w:sz w:val="32"/>
          <w:szCs w:val="32"/>
        </w:rPr>
        <w:t>2do</w:t>
      </w:r>
      <w:r w:rsidR="0078128C">
        <w:rPr>
          <w:rFonts w:ascii="Century Gothic" w:hAnsi="Century Gothic"/>
          <w:b/>
          <w:color w:val="1F3864" w:themeColor="accent5" w:themeShade="80"/>
          <w:sz w:val="32"/>
          <w:szCs w:val="32"/>
        </w:rPr>
        <w:t xml:space="preserve"> CAPITULO </w:t>
      </w:r>
      <w:r w:rsidR="00C561EC" w:rsidRPr="00B10BF2">
        <w:rPr>
          <w:rFonts w:ascii="Century Gothic" w:hAnsi="Century Gothic"/>
          <w:b/>
          <w:color w:val="1F3864" w:themeColor="accent5" w:themeShade="80"/>
          <w:sz w:val="32"/>
          <w:szCs w:val="32"/>
        </w:rPr>
        <w:t>DE TESIS</w:t>
      </w:r>
      <w:r>
        <w:rPr>
          <w:rFonts w:ascii="Century Gothic" w:hAnsi="Century Gothic"/>
          <w:b/>
          <w:color w:val="1F3864" w:themeColor="accent5" w:themeShade="80"/>
          <w:sz w:val="32"/>
          <w:szCs w:val="32"/>
        </w:rPr>
        <w:t xml:space="preserve"> (</w:t>
      </w:r>
      <w:r w:rsidR="00BB3EDA">
        <w:rPr>
          <w:rFonts w:ascii="Century Gothic" w:hAnsi="Century Gothic"/>
          <w:b/>
          <w:color w:val="1F3864" w:themeColor="accent5" w:themeShade="80"/>
          <w:sz w:val="32"/>
          <w:szCs w:val="32"/>
        </w:rPr>
        <w:t>2.</w:t>
      </w:r>
      <w:r w:rsidR="0011143B">
        <w:rPr>
          <w:rFonts w:ascii="Century Gothic" w:hAnsi="Century Gothic"/>
          <w:b/>
          <w:color w:val="1F3864" w:themeColor="accent5" w:themeShade="80"/>
          <w:sz w:val="32"/>
          <w:szCs w:val="32"/>
        </w:rPr>
        <w:t>2 antecedentes de la investigación</w:t>
      </w:r>
      <w:r w:rsidR="00BB3EDA">
        <w:rPr>
          <w:rFonts w:ascii="Century Gothic" w:hAnsi="Century Gothic"/>
          <w:b/>
          <w:color w:val="1F3864" w:themeColor="accent5" w:themeShade="80"/>
          <w:sz w:val="32"/>
          <w:szCs w:val="32"/>
        </w:rPr>
        <w:t>)</w:t>
      </w:r>
    </w:p>
    <w:p w14:paraId="01DA1603" w14:textId="77777777" w:rsidR="00F421C3" w:rsidRPr="00F421C3" w:rsidRDefault="00F421C3" w:rsidP="00F421C3">
      <w:pPr>
        <w:spacing w:line="240" w:lineRule="auto"/>
        <w:rPr>
          <w:rFonts w:ascii="Century Gothic" w:hAnsi="Century Gothic"/>
          <w:b/>
          <w:color w:val="1F3864" w:themeColor="accent5" w:themeShade="80"/>
          <w:sz w:val="48"/>
        </w:rPr>
      </w:pPr>
    </w:p>
    <w:p w14:paraId="268B20B5" w14:textId="77777777" w:rsidR="005B1757" w:rsidRDefault="005B1757" w:rsidP="005B1757">
      <w:pPr>
        <w:rPr>
          <w:rFonts w:ascii="Century Gothic" w:hAnsi="Century Gothic"/>
          <w:color w:val="1F3864" w:themeColor="accent5" w:themeShade="80"/>
        </w:rPr>
      </w:pPr>
    </w:p>
    <w:p w14:paraId="42729703" w14:textId="4075A516" w:rsidR="00DD4302" w:rsidRDefault="00F421C3" w:rsidP="005B1757">
      <w:pPr>
        <w:jc w:val="right"/>
        <w:rPr>
          <w:rFonts w:ascii="Century Gothic" w:hAnsi="Century Gothic"/>
          <w:color w:val="1F3864" w:themeColor="accent5" w:themeShade="80"/>
        </w:rPr>
      </w:pPr>
      <w:r w:rsidRPr="00F421C3">
        <w:rPr>
          <w:rFonts w:ascii="Century Gothic" w:hAnsi="Century Gothic"/>
          <w:noProof/>
          <w:color w:val="1F3864" w:themeColor="accent5" w:themeShade="80"/>
          <w:lang w:val="es-ES" w:eastAsia="es-ES"/>
        </w:rPr>
        <w:drawing>
          <wp:anchor distT="0" distB="0" distL="114300" distR="114300" simplePos="0" relativeHeight="251660288" behindDoc="1" locked="0" layoutInCell="1" allowOverlap="1" wp14:anchorId="6E37656F" wp14:editId="5E3B3B06">
            <wp:simplePos x="0" y="0"/>
            <wp:positionH relativeFrom="page">
              <wp:posOffset>-35560</wp:posOffset>
            </wp:positionH>
            <wp:positionV relativeFrom="paragraph">
              <wp:posOffset>614045</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00B9722A">
        <w:rPr>
          <w:rFonts w:ascii="Century Gothic" w:hAnsi="Century Gothic"/>
          <w:color w:val="1F3864" w:themeColor="accent5" w:themeShade="80"/>
        </w:rPr>
        <w:t>Frontera Comalapa</w:t>
      </w:r>
      <w:r w:rsidR="007F29B7">
        <w:rPr>
          <w:rFonts w:ascii="Century Gothic" w:hAnsi="Century Gothic"/>
          <w:color w:val="1F3864" w:themeColor="accent5" w:themeShade="80"/>
        </w:rPr>
        <w:t>,</w:t>
      </w:r>
      <w:r w:rsidR="00CC3A82">
        <w:rPr>
          <w:rFonts w:ascii="Century Gothic" w:hAnsi="Century Gothic"/>
          <w:color w:val="1F3864" w:themeColor="accent5" w:themeShade="80"/>
        </w:rPr>
        <w:t xml:space="preserve"> Chiapas a </w:t>
      </w:r>
      <w:r w:rsidR="006145A3">
        <w:rPr>
          <w:rFonts w:ascii="Century Gothic" w:hAnsi="Century Gothic"/>
          <w:color w:val="1F3864" w:themeColor="accent5" w:themeShade="80"/>
        </w:rPr>
        <w:t>07 de marzo</w:t>
      </w:r>
      <w:r w:rsidR="00CC3A82">
        <w:rPr>
          <w:rFonts w:ascii="Century Gothic" w:hAnsi="Century Gothic"/>
          <w:color w:val="1F3864" w:themeColor="accent5" w:themeShade="80"/>
        </w:rPr>
        <w:t xml:space="preserve"> </w:t>
      </w:r>
      <w:r w:rsidR="00816A4F">
        <w:rPr>
          <w:rFonts w:ascii="Century Gothic" w:hAnsi="Century Gothic"/>
          <w:color w:val="1F3864" w:themeColor="accent5" w:themeShade="80"/>
        </w:rPr>
        <w:t>de 202</w:t>
      </w:r>
      <w:r w:rsidR="00C561EC">
        <w:rPr>
          <w:rFonts w:ascii="Century Gothic" w:hAnsi="Century Gothic"/>
          <w:color w:val="1F3864" w:themeColor="accent5" w:themeShade="80"/>
        </w:rPr>
        <w:t>1</w:t>
      </w:r>
      <w:r w:rsidRPr="00F421C3">
        <w:rPr>
          <w:rFonts w:ascii="Century Gothic" w:hAnsi="Century Gothic"/>
          <w:color w:val="1F3864" w:themeColor="accent5" w:themeShade="80"/>
        </w:rPr>
        <w:t>.</w:t>
      </w:r>
    </w:p>
    <w:p w14:paraId="4118195B" w14:textId="77777777" w:rsidR="00DD4302" w:rsidRPr="00DD4302" w:rsidRDefault="00DD4302" w:rsidP="00DD4302">
      <w:pPr>
        <w:rPr>
          <w:rFonts w:ascii="Century Gothic" w:hAnsi="Century Gothic"/>
        </w:rPr>
      </w:pPr>
    </w:p>
    <w:p w14:paraId="54919053" w14:textId="77777777" w:rsidR="00DD4302" w:rsidRPr="00DD4302" w:rsidRDefault="00DD4302" w:rsidP="00DD4302">
      <w:pPr>
        <w:rPr>
          <w:rFonts w:ascii="Century Gothic" w:hAnsi="Century Gothic"/>
        </w:rPr>
      </w:pPr>
    </w:p>
    <w:p w14:paraId="6F5A98F1" w14:textId="77777777" w:rsidR="00DD4302" w:rsidRDefault="00DD4302" w:rsidP="00DD4302">
      <w:pPr>
        <w:rPr>
          <w:rFonts w:ascii="Century Gothic" w:hAnsi="Century Gothic"/>
        </w:rPr>
      </w:pPr>
    </w:p>
    <w:p w14:paraId="01AA38C3" w14:textId="77777777" w:rsidR="00F421C3" w:rsidRDefault="00DD4302" w:rsidP="00DD4302">
      <w:pPr>
        <w:tabs>
          <w:tab w:val="left" w:pos="7663"/>
        </w:tabs>
        <w:rPr>
          <w:rFonts w:ascii="Century Gothic" w:hAnsi="Century Gothic"/>
        </w:rPr>
      </w:pPr>
      <w:r>
        <w:rPr>
          <w:rFonts w:ascii="Century Gothic" w:hAnsi="Century Gothic"/>
        </w:rPr>
        <w:tab/>
      </w:r>
    </w:p>
    <w:p w14:paraId="307967CD" w14:textId="77777777" w:rsidR="00B10BF2" w:rsidRDefault="00B10BF2" w:rsidP="00C561EC">
      <w:pPr>
        <w:spacing w:line="360" w:lineRule="auto"/>
        <w:jc w:val="center"/>
        <w:rPr>
          <w:rFonts w:ascii="Arial" w:hAnsi="Arial" w:cs="Arial"/>
          <w:b/>
          <w:bCs/>
          <w:sz w:val="28"/>
          <w:szCs w:val="28"/>
        </w:rPr>
      </w:pPr>
    </w:p>
    <w:p w14:paraId="30B63B74" w14:textId="77777777" w:rsidR="0011143B" w:rsidRPr="004548EB" w:rsidRDefault="0011143B" w:rsidP="0011143B">
      <w:pPr>
        <w:spacing w:after="0" w:line="360" w:lineRule="auto"/>
        <w:jc w:val="both"/>
        <w:rPr>
          <w:rFonts w:ascii="Arial" w:hAnsi="Arial" w:cs="Arial"/>
          <w:b/>
          <w:bCs/>
          <w:sz w:val="24"/>
          <w:szCs w:val="24"/>
        </w:rPr>
      </w:pPr>
      <w:r w:rsidRPr="004548EB">
        <w:rPr>
          <w:rFonts w:ascii="Arial" w:hAnsi="Arial" w:cs="Arial"/>
          <w:b/>
          <w:bCs/>
          <w:sz w:val="24"/>
          <w:szCs w:val="24"/>
        </w:rPr>
        <w:lastRenderedPageBreak/>
        <w:t>2.2 ANTECEDENTES DE LA INVESTIGACIÓN</w:t>
      </w:r>
    </w:p>
    <w:p w14:paraId="5A13ADFA" w14:textId="77777777" w:rsidR="0011143B" w:rsidRDefault="0011143B" w:rsidP="0011143B">
      <w:pPr>
        <w:spacing w:after="0" w:line="360" w:lineRule="auto"/>
        <w:jc w:val="both"/>
        <w:rPr>
          <w:rFonts w:ascii="Arial" w:hAnsi="Arial" w:cs="Arial"/>
          <w:sz w:val="24"/>
          <w:szCs w:val="24"/>
        </w:rPr>
      </w:pPr>
    </w:p>
    <w:p w14:paraId="40062BAF" w14:textId="77777777" w:rsidR="0011143B" w:rsidRPr="0011143B" w:rsidRDefault="0011143B" w:rsidP="0011143B">
      <w:pPr>
        <w:spacing w:after="0" w:line="360" w:lineRule="auto"/>
        <w:jc w:val="both"/>
        <w:rPr>
          <w:rFonts w:ascii="Arial" w:hAnsi="Arial" w:cs="Arial"/>
          <w:sz w:val="24"/>
          <w:szCs w:val="24"/>
        </w:rPr>
      </w:pPr>
      <w:sdt>
        <w:sdtPr>
          <w:rPr>
            <w:rFonts w:ascii="Arial" w:hAnsi="Arial" w:cs="Arial"/>
            <w:sz w:val="24"/>
            <w:szCs w:val="24"/>
          </w:rPr>
          <w:id w:val="-50547470"/>
          <w:citation/>
        </w:sdtPr>
        <w:sdtContent>
          <w:r w:rsidRPr="0011143B">
            <w:rPr>
              <w:rFonts w:ascii="Arial" w:hAnsi="Arial" w:cs="Arial"/>
              <w:sz w:val="24"/>
              <w:szCs w:val="24"/>
            </w:rPr>
            <w:fldChar w:fldCharType="begin"/>
          </w:r>
          <w:r w:rsidRPr="0011143B">
            <w:rPr>
              <w:rFonts w:ascii="Arial" w:hAnsi="Arial" w:cs="Arial"/>
              <w:sz w:val="24"/>
              <w:szCs w:val="24"/>
            </w:rPr>
            <w:instrText xml:space="preserve"> CITATION Ort04 \l 2058 </w:instrText>
          </w:r>
          <w:r w:rsidRPr="0011143B">
            <w:rPr>
              <w:rFonts w:ascii="Arial" w:hAnsi="Arial" w:cs="Arial"/>
              <w:sz w:val="24"/>
              <w:szCs w:val="24"/>
            </w:rPr>
            <w:fldChar w:fldCharType="separate"/>
          </w:r>
          <w:r w:rsidRPr="0011143B">
            <w:rPr>
              <w:rFonts w:ascii="Arial" w:hAnsi="Arial" w:cs="Arial"/>
              <w:noProof/>
              <w:sz w:val="24"/>
              <w:szCs w:val="24"/>
            </w:rPr>
            <w:t>(Ortiz, 2004)</w:t>
          </w:r>
          <w:r w:rsidRPr="0011143B">
            <w:rPr>
              <w:rFonts w:ascii="Arial" w:hAnsi="Arial" w:cs="Arial"/>
              <w:sz w:val="24"/>
              <w:szCs w:val="24"/>
            </w:rPr>
            <w:fldChar w:fldCharType="end"/>
          </w:r>
        </w:sdtContent>
      </w:sdt>
      <w:r w:rsidRPr="0011143B">
        <w:rPr>
          <w:rFonts w:ascii="Arial" w:hAnsi="Arial" w:cs="Arial"/>
          <w:sz w:val="24"/>
          <w:szCs w:val="24"/>
        </w:rPr>
        <w:t xml:space="preserve"> realizó una tesis titulada “Incidencia de Fiebre Tifoidea” su objetivo de esta tesis fue: Contribuir al conocimiento de la incidencia de tifoidea en el cantón Lomas de Sargentillo en el periodo de enero- abril del 2003. Sus objetivos específicos fueron: Determinar la incidencia en personas infectadas por salmonella. Establecer los factores asociados que influyen en la incidencia de fiebre tifoidea. Correlacionar las características que aumentan o disminuyen la incidencia de fiebre tifoidea. </w:t>
      </w:r>
    </w:p>
    <w:p w14:paraId="47C6A693" w14:textId="77777777" w:rsidR="0011143B" w:rsidRPr="0011143B" w:rsidRDefault="0011143B" w:rsidP="0011143B">
      <w:pPr>
        <w:spacing w:after="0" w:line="360" w:lineRule="auto"/>
        <w:jc w:val="both"/>
        <w:rPr>
          <w:rFonts w:ascii="Arial" w:hAnsi="Arial" w:cs="Arial"/>
          <w:sz w:val="24"/>
          <w:szCs w:val="24"/>
        </w:rPr>
      </w:pPr>
    </w:p>
    <w:p w14:paraId="2AF1329D" w14:textId="77777777" w:rsidR="0011143B" w:rsidRP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t>Se realizó un estudio prospectivo descriptivo de la incidencia de fiebre tifoidea en personas mayores de 20 años en el cantón Lomas de Sargentillo, en el año 2003.</w:t>
      </w:r>
    </w:p>
    <w:p w14:paraId="022F8961" w14:textId="77777777" w:rsidR="0011143B" w:rsidRPr="0011143B" w:rsidRDefault="0011143B" w:rsidP="0011143B">
      <w:pPr>
        <w:spacing w:after="0" w:line="360" w:lineRule="auto"/>
        <w:jc w:val="both"/>
        <w:rPr>
          <w:rFonts w:ascii="Arial" w:hAnsi="Arial" w:cs="Arial"/>
          <w:sz w:val="24"/>
          <w:szCs w:val="24"/>
        </w:rPr>
      </w:pPr>
    </w:p>
    <w:p w14:paraId="74B607A1" w14:textId="77777777" w:rsidR="0011143B" w:rsidRP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t xml:space="preserve">Su universo fueron todas aquellas personas que asistieron al laboratorio con síntomas de sospecha de fiebre tifoidea. Se realizó un estudio en los meses de enero a mayo del año 2003 y se obtuvo los siguientes datos: </w:t>
      </w:r>
    </w:p>
    <w:p w14:paraId="064FB0F1" w14:textId="77777777" w:rsidR="0011143B" w:rsidRPr="0011143B" w:rsidRDefault="0011143B" w:rsidP="0011143B">
      <w:pPr>
        <w:spacing w:after="0" w:line="360" w:lineRule="auto"/>
        <w:jc w:val="both"/>
        <w:rPr>
          <w:rFonts w:ascii="Arial" w:hAnsi="Arial" w:cs="Arial"/>
          <w:sz w:val="24"/>
          <w:szCs w:val="24"/>
        </w:rPr>
      </w:pPr>
    </w:p>
    <w:p w14:paraId="3A43C4EC" w14:textId="77777777" w:rsidR="0011143B" w:rsidRP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t>Mayor incidencia se presentó en el mes de febrero con un porcentaje de 34,6% luego marzo con un porcentaje de 28,8% luego abril con 17,3 % luego mayo con 11,7% y finalmente enero con un 7,6 %.</w:t>
      </w:r>
    </w:p>
    <w:p w14:paraId="54E6747D" w14:textId="77777777" w:rsidR="0011143B" w:rsidRPr="0011143B" w:rsidRDefault="0011143B" w:rsidP="0011143B">
      <w:pPr>
        <w:spacing w:after="0" w:line="360" w:lineRule="auto"/>
        <w:jc w:val="both"/>
        <w:rPr>
          <w:rFonts w:ascii="Arial" w:hAnsi="Arial" w:cs="Arial"/>
          <w:sz w:val="24"/>
          <w:szCs w:val="24"/>
        </w:rPr>
      </w:pPr>
    </w:p>
    <w:p w14:paraId="280FC8B0" w14:textId="77777777" w:rsidR="0011143B" w:rsidRP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t>De acuerdo a su estudio según las edades predominó la edad entre (31-35 años) con un 23,84%; seguido de las edades (26-30 años) con un porcentaje 23,07%; luego las edades (20-25 años) con un porcentaje de 15,37%; luego las edades (36-40 años) con un porcentaje de 13,46%; seguido de (41-45 años) con 9,61% y por último (46- 50 años) con un 9,61%.</w:t>
      </w:r>
    </w:p>
    <w:p w14:paraId="0092C349" w14:textId="77777777" w:rsidR="0011143B" w:rsidRPr="0011143B" w:rsidRDefault="0011143B" w:rsidP="0011143B">
      <w:pPr>
        <w:spacing w:after="0" w:line="360" w:lineRule="auto"/>
        <w:jc w:val="both"/>
        <w:rPr>
          <w:rFonts w:ascii="Arial" w:hAnsi="Arial" w:cs="Arial"/>
          <w:sz w:val="24"/>
          <w:szCs w:val="24"/>
        </w:rPr>
      </w:pPr>
    </w:p>
    <w:p w14:paraId="195A759A" w14:textId="77777777" w:rsidR="0011143B" w:rsidRP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t xml:space="preserve">Con relación al sexo se observó la mayor incidencia en el sexo masculino con 80,7% y el sexo femenino con 19,3% para los 52 pacientes. </w:t>
      </w:r>
    </w:p>
    <w:p w14:paraId="3E5E639F" w14:textId="77777777" w:rsidR="0011143B" w:rsidRPr="0011143B" w:rsidRDefault="0011143B" w:rsidP="0011143B">
      <w:pPr>
        <w:spacing w:after="0" w:line="360" w:lineRule="auto"/>
        <w:jc w:val="both"/>
        <w:rPr>
          <w:rFonts w:ascii="Arial" w:hAnsi="Arial" w:cs="Arial"/>
          <w:sz w:val="24"/>
          <w:szCs w:val="24"/>
        </w:rPr>
      </w:pPr>
    </w:p>
    <w:p w14:paraId="4620A576" w14:textId="77777777" w:rsidR="0011143B" w:rsidRP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lastRenderedPageBreak/>
        <w:t xml:space="preserve">Esta tesis coincide con la nuestra en el aspecto que nosotras consideramos que la fiebre tifoidea se adquiere por medio del consumo de la comida contaminada que muchas veces se come fuera de casa, el tesista en su investigación encontró que con más frecuencia se manifestó la fiebre en las personas que comen fuera de casa con un 71,2%; respecto al 28,8% que comen en su casa. </w:t>
      </w:r>
    </w:p>
    <w:p w14:paraId="6D78882A" w14:textId="77777777" w:rsidR="0011143B" w:rsidRPr="0011143B" w:rsidRDefault="0011143B" w:rsidP="0011143B">
      <w:pPr>
        <w:spacing w:after="0" w:line="360" w:lineRule="auto"/>
        <w:jc w:val="both"/>
        <w:rPr>
          <w:rFonts w:ascii="Arial" w:hAnsi="Arial" w:cs="Arial"/>
          <w:sz w:val="24"/>
          <w:szCs w:val="24"/>
        </w:rPr>
      </w:pPr>
    </w:p>
    <w:p w14:paraId="440CAD77" w14:textId="77777777" w:rsidR="0011143B" w:rsidRP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t xml:space="preserve">Así mismo encontró que en los mercados no existe una higiene adecuada, hay acumulación de desperdicios, basura, en las cuales proliferan las moscas. Con esto queda comprobado que la higiene personal tiene mucha importancia en la prevención de las enfermedades. Esto también coincide con lo que nosotras pusimos en nuestra tesis ya que el estudio lo realizaremos en el barrio centro y ahí se encuentra el mercado público, donde las personas que encuestaremos compran sus alimentos preparados. </w:t>
      </w:r>
    </w:p>
    <w:p w14:paraId="356791F6" w14:textId="77777777" w:rsidR="0011143B" w:rsidRPr="0011143B" w:rsidRDefault="0011143B" w:rsidP="0011143B">
      <w:pPr>
        <w:spacing w:after="0" w:line="360" w:lineRule="auto"/>
        <w:jc w:val="both"/>
        <w:rPr>
          <w:rFonts w:ascii="Arial" w:hAnsi="Arial" w:cs="Arial"/>
          <w:sz w:val="24"/>
          <w:szCs w:val="24"/>
        </w:rPr>
      </w:pPr>
    </w:p>
    <w:p w14:paraId="61575B23" w14:textId="77777777" w:rsidR="0011143B" w:rsidRP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t xml:space="preserve">Ellos recomiendan a la población en su tesis que los mercados terminada su faena diaria deben de lavar pisos y dejar todo limpio, recolectar la basura en fundas negras y dejar en lugar apropiados, a la ciudadanía, botar la basura en horarios de recolección de la misma para evitar la formación de focos infecciosos. </w:t>
      </w:r>
    </w:p>
    <w:p w14:paraId="6F504692" w14:textId="77777777" w:rsidR="0011143B" w:rsidRPr="0011143B" w:rsidRDefault="0011143B" w:rsidP="0011143B">
      <w:pPr>
        <w:spacing w:after="0" w:line="360" w:lineRule="auto"/>
        <w:jc w:val="both"/>
        <w:rPr>
          <w:rFonts w:ascii="Arial" w:hAnsi="Arial" w:cs="Arial"/>
          <w:sz w:val="24"/>
          <w:szCs w:val="24"/>
        </w:rPr>
      </w:pPr>
    </w:p>
    <w:p w14:paraId="75B04EB7" w14:textId="77777777" w:rsidR="0011143B" w:rsidRPr="0011143B" w:rsidRDefault="0011143B" w:rsidP="0011143B">
      <w:pPr>
        <w:spacing w:after="0" w:line="360" w:lineRule="auto"/>
        <w:jc w:val="both"/>
        <w:rPr>
          <w:rFonts w:ascii="Arial" w:hAnsi="Arial" w:cs="Arial"/>
          <w:sz w:val="24"/>
          <w:szCs w:val="24"/>
        </w:rPr>
      </w:pPr>
      <w:sdt>
        <w:sdtPr>
          <w:rPr>
            <w:rFonts w:ascii="Arial" w:hAnsi="Arial" w:cs="Arial"/>
            <w:sz w:val="24"/>
            <w:szCs w:val="24"/>
          </w:rPr>
          <w:id w:val="1196434383"/>
          <w:citation/>
        </w:sdtPr>
        <w:sdtContent>
          <w:r w:rsidRPr="0011143B">
            <w:rPr>
              <w:rFonts w:ascii="Arial" w:hAnsi="Arial" w:cs="Arial"/>
              <w:sz w:val="24"/>
              <w:szCs w:val="24"/>
            </w:rPr>
            <w:fldChar w:fldCharType="begin"/>
          </w:r>
          <w:r w:rsidRPr="0011143B">
            <w:rPr>
              <w:rFonts w:ascii="Arial" w:hAnsi="Arial" w:cs="Arial"/>
              <w:sz w:val="24"/>
              <w:szCs w:val="24"/>
            </w:rPr>
            <w:instrText xml:space="preserve"> CITATION Bad18 \l 2058 </w:instrText>
          </w:r>
          <w:r w:rsidRPr="0011143B">
            <w:rPr>
              <w:rFonts w:ascii="Arial" w:hAnsi="Arial" w:cs="Arial"/>
              <w:sz w:val="24"/>
              <w:szCs w:val="24"/>
            </w:rPr>
            <w:fldChar w:fldCharType="separate"/>
          </w:r>
          <w:r w:rsidRPr="0011143B">
            <w:rPr>
              <w:rFonts w:ascii="Arial" w:hAnsi="Arial" w:cs="Arial"/>
              <w:noProof/>
              <w:sz w:val="24"/>
              <w:szCs w:val="24"/>
            </w:rPr>
            <w:t>(Bada &amp; Rafaela, 2018)</w:t>
          </w:r>
          <w:r w:rsidRPr="0011143B">
            <w:rPr>
              <w:rFonts w:ascii="Arial" w:hAnsi="Arial" w:cs="Arial"/>
              <w:sz w:val="24"/>
              <w:szCs w:val="24"/>
            </w:rPr>
            <w:fldChar w:fldCharType="end"/>
          </w:r>
        </w:sdtContent>
      </w:sdt>
      <w:r w:rsidRPr="0011143B">
        <w:rPr>
          <w:rFonts w:ascii="Arial" w:hAnsi="Arial" w:cs="Arial"/>
          <w:sz w:val="24"/>
          <w:szCs w:val="24"/>
        </w:rPr>
        <w:t xml:space="preserve"> en la realización de su tesis establecieron su objetivo general fue: determinar la incidencia de fiebre Tifoidea, fiebre Paratifoidea y fiebre de Malta en los pobladores del </w:t>
      </w:r>
      <w:proofErr w:type="gramStart"/>
      <w:r w:rsidRPr="0011143B">
        <w:rPr>
          <w:rFonts w:ascii="Arial" w:hAnsi="Arial" w:cs="Arial"/>
          <w:sz w:val="24"/>
          <w:szCs w:val="24"/>
        </w:rPr>
        <w:t>AA.HH</w:t>
      </w:r>
      <w:proofErr w:type="gramEnd"/>
      <w:r w:rsidRPr="0011143B">
        <w:rPr>
          <w:rFonts w:ascii="Arial" w:hAnsi="Arial" w:cs="Arial"/>
          <w:sz w:val="24"/>
          <w:szCs w:val="24"/>
        </w:rPr>
        <w:t xml:space="preserve"> Villa María del Triunfo, con muestras de sangre y encuestas a la población.</w:t>
      </w:r>
    </w:p>
    <w:p w14:paraId="07C8B01B" w14:textId="77777777" w:rsidR="0011143B" w:rsidRPr="0011143B" w:rsidRDefault="0011143B" w:rsidP="0011143B">
      <w:pPr>
        <w:spacing w:after="0" w:line="360" w:lineRule="auto"/>
        <w:jc w:val="both"/>
        <w:rPr>
          <w:rFonts w:ascii="Arial" w:hAnsi="Arial" w:cs="Arial"/>
          <w:sz w:val="24"/>
          <w:szCs w:val="24"/>
        </w:rPr>
      </w:pPr>
    </w:p>
    <w:p w14:paraId="3918A565" w14:textId="77777777" w:rsidR="0011143B" w:rsidRP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t xml:space="preserve">Sus objetivos específicos planteados son: determinar los casos positivos de fiebre Tifoidea, fiebre Paratifoidea y fiebre de Malta en la población AAHH. Villa María del Triunfo de acuerdo a la edad. Determinar los casos positivos de fiebre Tifoidea, fiebre Paratifoidea y fiebre de Malta en la población AAHH. Villa María del Triunfo de acuerdo al género. Determinar los casos positivos de fiebre Tifoidea, fiebre Paratifoidea y fiebre de Malta en la población AAHH. Villa María del Triunfo de acuerdo al lugar de consumo de alimentos. Determinar los casos positivos de fiebre </w:t>
      </w:r>
      <w:r w:rsidRPr="0011143B">
        <w:rPr>
          <w:rFonts w:ascii="Arial" w:hAnsi="Arial" w:cs="Arial"/>
          <w:sz w:val="24"/>
          <w:szCs w:val="24"/>
        </w:rPr>
        <w:lastRenderedPageBreak/>
        <w:t xml:space="preserve">Tifoidea, fiebre Paratifoidea y fiebre de Malta en la población AAHH. Villa María del Triunfo de acuerdo al consumo de alimentos.  </w:t>
      </w:r>
    </w:p>
    <w:p w14:paraId="018DE644" w14:textId="77777777" w:rsidR="0011143B" w:rsidRPr="0011143B" w:rsidRDefault="0011143B" w:rsidP="0011143B">
      <w:pPr>
        <w:spacing w:after="0" w:line="360" w:lineRule="auto"/>
        <w:jc w:val="both"/>
        <w:rPr>
          <w:rFonts w:ascii="Arial" w:hAnsi="Arial" w:cs="Arial"/>
          <w:sz w:val="24"/>
          <w:szCs w:val="24"/>
        </w:rPr>
      </w:pPr>
    </w:p>
    <w:p w14:paraId="3BC778A0" w14:textId="77777777" w:rsidR="0011143B" w:rsidRP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t xml:space="preserve">En base a esto su objetivo general es Determinar la incidencia de fiebre Tifoidea, fiebre Paratifoidea y fiebre de Malta en los pobladores del </w:t>
      </w:r>
      <w:proofErr w:type="gramStart"/>
      <w:r w:rsidRPr="0011143B">
        <w:rPr>
          <w:rFonts w:ascii="Arial" w:hAnsi="Arial" w:cs="Arial"/>
          <w:sz w:val="24"/>
          <w:szCs w:val="24"/>
        </w:rPr>
        <w:t>AA.HH</w:t>
      </w:r>
      <w:proofErr w:type="gramEnd"/>
      <w:r w:rsidRPr="0011143B">
        <w:rPr>
          <w:rFonts w:ascii="Arial" w:hAnsi="Arial" w:cs="Arial"/>
          <w:sz w:val="24"/>
          <w:szCs w:val="24"/>
        </w:rPr>
        <w:t xml:space="preserve"> Villa María del Triunfo, con muestras de sangre y encuestas a la población.</w:t>
      </w:r>
    </w:p>
    <w:p w14:paraId="6E6B5542" w14:textId="77777777" w:rsidR="0011143B" w:rsidRPr="0011143B" w:rsidRDefault="0011143B" w:rsidP="0011143B">
      <w:pPr>
        <w:spacing w:after="0" w:line="360" w:lineRule="auto"/>
        <w:jc w:val="both"/>
        <w:rPr>
          <w:rFonts w:ascii="Arial" w:hAnsi="Arial" w:cs="Arial"/>
          <w:sz w:val="24"/>
          <w:szCs w:val="24"/>
        </w:rPr>
      </w:pPr>
    </w:p>
    <w:p w14:paraId="26B2C70E" w14:textId="77777777" w:rsidR="0011143B" w:rsidRP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t xml:space="preserve">En la población de Villa María del triunfo las actividades que más sobresalen son: comerciantes, vendedores ambulantes, trabajadores independientes, trabajadores contratados y estudiantes. La población en estudio está formada por los pobladores del AAHH. Villa María del triunfo, año 2018. Ya que en dicho distrito se reportó mayor grado de incidencia sobre contaminación por salmonelosis. </w:t>
      </w:r>
    </w:p>
    <w:p w14:paraId="338B2427" w14:textId="77777777" w:rsidR="0011143B" w:rsidRPr="0011143B" w:rsidRDefault="0011143B" w:rsidP="0011143B">
      <w:pPr>
        <w:spacing w:after="0" w:line="360" w:lineRule="auto"/>
        <w:jc w:val="both"/>
        <w:rPr>
          <w:rFonts w:ascii="Arial" w:hAnsi="Arial" w:cs="Arial"/>
          <w:sz w:val="24"/>
          <w:szCs w:val="24"/>
        </w:rPr>
      </w:pPr>
    </w:p>
    <w:p w14:paraId="7BF6AB41" w14:textId="77777777" w:rsidR="0011143B" w:rsidRP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t xml:space="preserve">La hipótesis para darle paso a la investigación fue: En el AAHH. De Villa María del Triunfo, se encuentra alta incidencia de fiebre tifoidea, paratiroidea y malta en los pobladores.  El universo de estudio está dado por los pobladores del AAHH. Villa María del Triunfo, año 2018 ya que en dicho distrito se reportó mayor grado de incidencia sobre contaminación por salmonelosis siendo la variable principal “Determinar la incidencia de Salmonella </w:t>
      </w:r>
      <w:proofErr w:type="spellStart"/>
      <w:r w:rsidRPr="0011143B">
        <w:rPr>
          <w:rFonts w:ascii="Arial" w:hAnsi="Arial" w:cs="Arial"/>
          <w:sz w:val="24"/>
          <w:szCs w:val="24"/>
        </w:rPr>
        <w:t>tiphy</w:t>
      </w:r>
      <w:proofErr w:type="spellEnd"/>
      <w:r w:rsidRPr="0011143B">
        <w:rPr>
          <w:rFonts w:ascii="Arial" w:hAnsi="Arial" w:cs="Arial"/>
          <w:sz w:val="24"/>
          <w:szCs w:val="24"/>
        </w:rPr>
        <w:t xml:space="preserve"> Salmonella </w:t>
      </w:r>
      <w:proofErr w:type="spellStart"/>
      <w:r w:rsidRPr="0011143B">
        <w:rPr>
          <w:rFonts w:ascii="Arial" w:hAnsi="Arial" w:cs="Arial"/>
          <w:sz w:val="24"/>
          <w:szCs w:val="24"/>
        </w:rPr>
        <w:t>paratyphi</w:t>
      </w:r>
      <w:proofErr w:type="spellEnd"/>
      <w:r w:rsidRPr="0011143B">
        <w:rPr>
          <w:rFonts w:ascii="Arial" w:hAnsi="Arial" w:cs="Arial"/>
          <w:sz w:val="24"/>
          <w:szCs w:val="24"/>
        </w:rPr>
        <w:t xml:space="preserve"> y </w:t>
      </w:r>
      <w:proofErr w:type="spellStart"/>
      <w:r w:rsidRPr="0011143B">
        <w:rPr>
          <w:rFonts w:ascii="Arial" w:hAnsi="Arial" w:cs="Arial"/>
          <w:sz w:val="24"/>
          <w:szCs w:val="24"/>
        </w:rPr>
        <w:t>Brucella</w:t>
      </w:r>
      <w:proofErr w:type="spellEnd"/>
      <w:r w:rsidRPr="0011143B">
        <w:rPr>
          <w:rFonts w:ascii="Arial" w:hAnsi="Arial" w:cs="Arial"/>
          <w:sz w:val="24"/>
          <w:szCs w:val="24"/>
        </w:rPr>
        <w:t xml:space="preserve">”. </w:t>
      </w:r>
    </w:p>
    <w:p w14:paraId="4114DA91" w14:textId="77777777" w:rsidR="0011143B" w:rsidRPr="0011143B" w:rsidRDefault="0011143B" w:rsidP="0011143B">
      <w:pPr>
        <w:spacing w:after="0" w:line="360" w:lineRule="auto"/>
        <w:jc w:val="both"/>
        <w:rPr>
          <w:rFonts w:ascii="Arial" w:hAnsi="Arial" w:cs="Arial"/>
          <w:sz w:val="24"/>
          <w:szCs w:val="24"/>
        </w:rPr>
      </w:pPr>
    </w:p>
    <w:p w14:paraId="5811D38D" w14:textId="77777777" w:rsidR="0011143B" w:rsidRP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t xml:space="preserve">De forma previa mediante la colaboración de las autoridades del poblado se convocará a una reunión con el objetivo de ilustrar sobre los procedimientos a realizarse en su representada. Señalamos que se trata de determinar la cantidad de pacientes infectados por dichas fiebres, del centro poblado, y que se obtendrán muestras de sangre.  </w:t>
      </w:r>
    </w:p>
    <w:p w14:paraId="3EEDB11F" w14:textId="77777777" w:rsidR="0011143B" w:rsidRPr="0011143B" w:rsidRDefault="0011143B" w:rsidP="0011143B">
      <w:pPr>
        <w:spacing w:after="0" w:line="360" w:lineRule="auto"/>
        <w:jc w:val="both"/>
        <w:rPr>
          <w:rFonts w:ascii="Arial" w:hAnsi="Arial" w:cs="Arial"/>
          <w:sz w:val="24"/>
          <w:szCs w:val="24"/>
        </w:rPr>
      </w:pPr>
    </w:p>
    <w:p w14:paraId="3FB0D77D" w14:textId="77777777" w:rsidR="0011143B" w:rsidRP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t xml:space="preserve">El resultado de los estudios realizados, nos muestra que en nuestro estudio el 86% (134) de los casos estudiados resultaron negativos, y el 14% (22) resultaron positivos a algún tipo de fiebre, con respecto a la incidencia por tipo de fiebre tenemos en primer lugar la fiebre Tifoidea con una incidencia del 9%, seguidos de la Fiebre malta y Fiebre Paratifoidea ambas con un 3% de incidencia. </w:t>
      </w:r>
    </w:p>
    <w:p w14:paraId="7E47BF75" w14:textId="77777777" w:rsidR="0011143B" w:rsidRPr="0011143B" w:rsidRDefault="0011143B" w:rsidP="0011143B">
      <w:pPr>
        <w:spacing w:after="0" w:line="360" w:lineRule="auto"/>
        <w:jc w:val="both"/>
        <w:rPr>
          <w:rFonts w:ascii="Arial" w:hAnsi="Arial" w:cs="Arial"/>
          <w:sz w:val="24"/>
          <w:szCs w:val="24"/>
        </w:rPr>
      </w:pPr>
    </w:p>
    <w:p w14:paraId="2188DEAC" w14:textId="77777777" w:rsidR="0011143B" w:rsidRP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t xml:space="preserve">Ellas concluyen su tesis en que la actividad principal realizada por los casos estudiados evidenció también una relación con la incidencia de fiebres siendo los estudiantes y los trabajadores independientes de este AAHH los más afectados. </w:t>
      </w:r>
    </w:p>
    <w:p w14:paraId="1AD32702" w14:textId="77777777" w:rsidR="0011143B" w:rsidRPr="0011143B" w:rsidRDefault="0011143B" w:rsidP="0011143B">
      <w:pPr>
        <w:spacing w:after="0" w:line="360" w:lineRule="auto"/>
        <w:jc w:val="both"/>
        <w:rPr>
          <w:rFonts w:ascii="Arial" w:hAnsi="Arial" w:cs="Arial"/>
          <w:sz w:val="24"/>
          <w:szCs w:val="24"/>
        </w:rPr>
      </w:pPr>
    </w:p>
    <w:p w14:paraId="318C25E2" w14:textId="77777777" w:rsidR="0011143B" w:rsidRP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t xml:space="preserve">El consumo frecuente de alimentos en distintos lugares de la población del AAHH, son mayormente frecuentados en los mercados y lugares públicos también incrementan la incidencia de estos tipos de fiebre. </w:t>
      </w:r>
    </w:p>
    <w:p w14:paraId="689624BE" w14:textId="77777777" w:rsidR="0011143B" w:rsidRPr="0011143B" w:rsidRDefault="0011143B" w:rsidP="0011143B">
      <w:pPr>
        <w:spacing w:after="0" w:line="360" w:lineRule="auto"/>
        <w:jc w:val="both"/>
        <w:rPr>
          <w:rFonts w:ascii="Arial" w:hAnsi="Arial" w:cs="Arial"/>
          <w:sz w:val="24"/>
          <w:szCs w:val="24"/>
        </w:rPr>
      </w:pPr>
    </w:p>
    <w:p w14:paraId="630C7E77" w14:textId="373E9229" w:rsidR="0011143B" w:rsidRDefault="0011143B" w:rsidP="0011143B">
      <w:pPr>
        <w:spacing w:after="0" w:line="360" w:lineRule="auto"/>
        <w:jc w:val="both"/>
        <w:rPr>
          <w:rFonts w:ascii="Arial" w:hAnsi="Arial" w:cs="Arial"/>
          <w:sz w:val="24"/>
          <w:szCs w:val="24"/>
        </w:rPr>
      </w:pPr>
      <w:r w:rsidRPr="0011143B">
        <w:rPr>
          <w:rFonts w:ascii="Arial" w:hAnsi="Arial" w:cs="Arial"/>
          <w:sz w:val="24"/>
          <w:szCs w:val="24"/>
        </w:rPr>
        <w:t>El consumo de alimentos en la población del AAHH. se dan en cantidades altas y estos siendo los principales consumos a diario de carnes rojas, pollo y pescado condicionando una mayor incidencia de este tipo de fiebres.</w:t>
      </w:r>
    </w:p>
    <w:p w14:paraId="767A1146" w14:textId="43F5973A" w:rsidR="0011143B" w:rsidRDefault="0011143B" w:rsidP="0011143B">
      <w:pPr>
        <w:spacing w:after="0" w:line="360" w:lineRule="auto"/>
        <w:jc w:val="both"/>
        <w:rPr>
          <w:rFonts w:ascii="Arial" w:hAnsi="Arial" w:cs="Arial"/>
          <w:sz w:val="24"/>
          <w:szCs w:val="24"/>
        </w:rPr>
      </w:pPr>
    </w:p>
    <w:p w14:paraId="3FB75C05" w14:textId="7851FE62" w:rsidR="0011143B" w:rsidRDefault="0011143B" w:rsidP="0011143B">
      <w:pPr>
        <w:spacing w:after="0" w:line="360" w:lineRule="auto"/>
        <w:jc w:val="both"/>
        <w:rPr>
          <w:rFonts w:ascii="Arial" w:hAnsi="Arial" w:cs="Arial"/>
          <w:sz w:val="24"/>
          <w:szCs w:val="24"/>
        </w:rPr>
      </w:pPr>
    </w:p>
    <w:p w14:paraId="33FAEBD9" w14:textId="77777777" w:rsidR="0011143B" w:rsidRDefault="0011143B" w:rsidP="0011143B">
      <w:pPr>
        <w:pStyle w:val="Bibliografa"/>
        <w:ind w:left="720" w:hanging="720"/>
        <w:rPr>
          <w:noProof/>
        </w:rPr>
      </w:pPr>
      <w:r>
        <w:rPr>
          <w:noProof/>
        </w:rPr>
        <w:t xml:space="preserve">Ortiz, P. A. (2004). Incidencia de Fiebre Tifoidea. </w:t>
      </w:r>
      <w:r>
        <w:rPr>
          <w:i/>
          <w:iCs/>
          <w:noProof/>
        </w:rPr>
        <w:t>Facultad de Ciencias Químicas</w:t>
      </w:r>
      <w:r>
        <w:rPr>
          <w:noProof/>
        </w:rPr>
        <w:t>, pp.1-91.</w:t>
      </w:r>
    </w:p>
    <w:p w14:paraId="7C98FC3F" w14:textId="1411E677" w:rsidR="0011143B" w:rsidRDefault="0011143B" w:rsidP="0011143B">
      <w:pPr>
        <w:spacing w:after="0" w:line="360" w:lineRule="auto"/>
        <w:jc w:val="both"/>
        <w:rPr>
          <w:rFonts w:ascii="Arial" w:hAnsi="Arial" w:cs="Arial"/>
          <w:sz w:val="24"/>
          <w:szCs w:val="24"/>
        </w:rPr>
      </w:pPr>
    </w:p>
    <w:p w14:paraId="0FE933D3" w14:textId="77777777" w:rsidR="0011143B" w:rsidRDefault="0011143B" w:rsidP="0011143B">
      <w:pPr>
        <w:pStyle w:val="Bibliografa"/>
        <w:ind w:left="720" w:hanging="720"/>
        <w:rPr>
          <w:noProof/>
        </w:rPr>
      </w:pPr>
      <w:r>
        <w:rPr>
          <w:noProof/>
        </w:rPr>
        <w:t xml:space="preserve">Bada, C. C., &amp; Rafaela, R. P. (2018). Incidencia de fiebre tifoidea, fiebre paratifoidea y fiebre de malta en pobladores del AAHH Villa Maria del Triunfo 2018. </w:t>
      </w:r>
      <w:r>
        <w:rPr>
          <w:i/>
          <w:iCs/>
          <w:noProof/>
        </w:rPr>
        <w:t>Incidencia de fiebre tifoidea, fiebre paratifoidea y fiebre de malta en pobladores del AAHH Villa Maria del Triunfo 2018</w:t>
      </w:r>
      <w:r>
        <w:rPr>
          <w:noProof/>
        </w:rPr>
        <w:t>, 1 a 53 .</w:t>
      </w:r>
    </w:p>
    <w:p w14:paraId="0075F1B5" w14:textId="77777777" w:rsidR="0011143B" w:rsidRDefault="0011143B" w:rsidP="0011143B">
      <w:pPr>
        <w:pStyle w:val="Bibliografa"/>
        <w:ind w:left="720" w:hanging="720"/>
        <w:rPr>
          <w:noProof/>
        </w:rPr>
      </w:pPr>
    </w:p>
    <w:p w14:paraId="0DC31429" w14:textId="77777777" w:rsidR="0011143B" w:rsidRPr="0011143B" w:rsidRDefault="0011143B" w:rsidP="0011143B">
      <w:pPr>
        <w:spacing w:after="0" w:line="360" w:lineRule="auto"/>
        <w:jc w:val="both"/>
        <w:rPr>
          <w:rFonts w:ascii="Arial" w:hAnsi="Arial" w:cs="Arial"/>
          <w:sz w:val="24"/>
          <w:szCs w:val="24"/>
        </w:rPr>
      </w:pPr>
    </w:p>
    <w:p w14:paraId="715C7537" w14:textId="77777777" w:rsidR="0011143B" w:rsidRPr="0011143B" w:rsidRDefault="0011143B" w:rsidP="0011143B">
      <w:pPr>
        <w:spacing w:after="0" w:line="360" w:lineRule="auto"/>
        <w:jc w:val="both"/>
        <w:rPr>
          <w:rFonts w:ascii="Arial" w:hAnsi="Arial" w:cs="Arial"/>
          <w:sz w:val="24"/>
          <w:szCs w:val="24"/>
        </w:rPr>
      </w:pPr>
    </w:p>
    <w:p w14:paraId="0630BEF6" w14:textId="77777777" w:rsidR="00722BD6" w:rsidRDefault="00722BD6" w:rsidP="00722BD6">
      <w:pPr>
        <w:spacing w:line="240" w:lineRule="auto"/>
        <w:jc w:val="both"/>
        <w:rPr>
          <w:rFonts w:ascii="Arial" w:hAnsi="Arial" w:cs="Arial"/>
          <w:sz w:val="24"/>
          <w:szCs w:val="24"/>
        </w:rPr>
      </w:pPr>
    </w:p>
    <w:p w14:paraId="171A8BC2" w14:textId="77777777" w:rsidR="00722BD6" w:rsidRDefault="00722BD6" w:rsidP="00722BD6">
      <w:pPr>
        <w:spacing w:line="240" w:lineRule="auto"/>
        <w:jc w:val="both"/>
        <w:rPr>
          <w:rFonts w:ascii="Arial" w:hAnsi="Arial" w:cs="Arial"/>
          <w:sz w:val="24"/>
          <w:szCs w:val="24"/>
        </w:rPr>
      </w:pPr>
    </w:p>
    <w:p w14:paraId="70704147" w14:textId="77777777" w:rsidR="00722BD6" w:rsidRDefault="00722BD6" w:rsidP="00722BD6">
      <w:pPr>
        <w:spacing w:line="240" w:lineRule="auto"/>
        <w:jc w:val="both"/>
        <w:rPr>
          <w:rFonts w:ascii="Arial" w:hAnsi="Arial" w:cs="Arial"/>
          <w:sz w:val="24"/>
          <w:szCs w:val="24"/>
        </w:rPr>
      </w:pPr>
    </w:p>
    <w:p w14:paraId="1D853CA7" w14:textId="77777777" w:rsidR="00722BD6" w:rsidRDefault="00722BD6" w:rsidP="00722BD6">
      <w:pPr>
        <w:spacing w:line="240" w:lineRule="auto"/>
        <w:jc w:val="both"/>
        <w:rPr>
          <w:rFonts w:ascii="Arial" w:hAnsi="Arial" w:cs="Arial"/>
          <w:sz w:val="24"/>
          <w:szCs w:val="24"/>
        </w:rPr>
      </w:pPr>
    </w:p>
    <w:p w14:paraId="1B748FE3" w14:textId="77777777" w:rsidR="00722BD6" w:rsidRDefault="00722BD6" w:rsidP="00722BD6">
      <w:pPr>
        <w:spacing w:line="240" w:lineRule="auto"/>
        <w:jc w:val="both"/>
        <w:rPr>
          <w:rFonts w:ascii="Arial" w:hAnsi="Arial" w:cs="Arial"/>
          <w:sz w:val="24"/>
          <w:szCs w:val="24"/>
        </w:rPr>
      </w:pPr>
    </w:p>
    <w:p w14:paraId="61C0BA4D" w14:textId="77777777" w:rsidR="00722BD6" w:rsidRDefault="00722BD6" w:rsidP="00722BD6">
      <w:pPr>
        <w:spacing w:line="240" w:lineRule="auto"/>
        <w:jc w:val="both"/>
        <w:rPr>
          <w:rFonts w:ascii="Arial" w:hAnsi="Arial" w:cs="Arial"/>
          <w:sz w:val="24"/>
          <w:szCs w:val="24"/>
        </w:rPr>
      </w:pPr>
    </w:p>
    <w:p w14:paraId="39B7F6B6" w14:textId="77777777" w:rsidR="00722BD6" w:rsidRDefault="00722BD6" w:rsidP="00722BD6">
      <w:pPr>
        <w:spacing w:line="360" w:lineRule="auto"/>
        <w:jc w:val="both"/>
        <w:rPr>
          <w:rFonts w:ascii="Arial" w:hAnsi="Arial" w:cs="Arial"/>
        </w:rPr>
      </w:pPr>
    </w:p>
    <w:p w14:paraId="61807CAE" w14:textId="77777777" w:rsidR="00722BD6" w:rsidRDefault="00722BD6" w:rsidP="00722BD6">
      <w:pPr>
        <w:spacing w:line="360" w:lineRule="auto"/>
        <w:jc w:val="both"/>
        <w:rPr>
          <w:rFonts w:ascii="Arial" w:hAnsi="Arial" w:cs="Arial"/>
        </w:rPr>
      </w:pPr>
    </w:p>
    <w:p w14:paraId="193C13E1" w14:textId="77777777" w:rsidR="00722BD6" w:rsidRDefault="00722BD6" w:rsidP="00722BD6">
      <w:pPr>
        <w:spacing w:line="360" w:lineRule="auto"/>
        <w:jc w:val="both"/>
        <w:rPr>
          <w:rFonts w:ascii="Arial" w:hAnsi="Arial" w:cs="Arial"/>
        </w:rPr>
      </w:pPr>
    </w:p>
    <w:p w14:paraId="30D34B19" w14:textId="77777777" w:rsidR="00722BD6" w:rsidRDefault="00722BD6" w:rsidP="00722BD6">
      <w:pPr>
        <w:spacing w:line="360" w:lineRule="auto"/>
        <w:jc w:val="both"/>
        <w:rPr>
          <w:rFonts w:ascii="Arial" w:hAnsi="Arial" w:cs="Arial"/>
        </w:rPr>
      </w:pPr>
    </w:p>
    <w:p w14:paraId="483BB130" w14:textId="77777777" w:rsidR="0078128C" w:rsidRPr="0070108E" w:rsidRDefault="0078128C" w:rsidP="0078128C">
      <w:pPr>
        <w:rPr>
          <w:rFonts w:ascii="Arial" w:hAnsi="Arial" w:cs="Arial"/>
        </w:rPr>
      </w:pPr>
    </w:p>
    <w:p w14:paraId="35096C82" w14:textId="77777777" w:rsidR="0078128C" w:rsidRPr="00D4228A" w:rsidRDefault="0078128C" w:rsidP="0078128C">
      <w:pPr>
        <w:rPr>
          <w:rFonts w:ascii="Arial" w:hAnsi="Arial" w:cs="Arial"/>
        </w:rPr>
      </w:pPr>
    </w:p>
    <w:p w14:paraId="7A5030D5" w14:textId="77777777" w:rsidR="00DD4302" w:rsidRPr="00DD4302" w:rsidRDefault="00DD4302" w:rsidP="00DD4302">
      <w:pPr>
        <w:tabs>
          <w:tab w:val="left" w:pos="7663"/>
        </w:tabs>
        <w:rPr>
          <w:rFonts w:ascii="Century Gothic" w:hAnsi="Century Gothic"/>
        </w:rPr>
      </w:pPr>
    </w:p>
    <w:sectPr w:rsidR="00DD4302" w:rsidRPr="00DD43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11.25pt;height:11.25pt" o:bullet="t">
        <v:imagedata r:id="rId1" o:title="mso8FBF"/>
      </v:shape>
    </w:pict>
  </w:numPicBullet>
  <w:abstractNum w:abstractNumId="0" w15:restartNumberingAfterBreak="0">
    <w:nsid w:val="5A5B0F61"/>
    <w:multiLevelType w:val="multilevel"/>
    <w:tmpl w:val="D1204F7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5AAB284C"/>
    <w:multiLevelType w:val="hybridMultilevel"/>
    <w:tmpl w:val="F7F29AB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3684839"/>
    <w:multiLevelType w:val="hybridMultilevel"/>
    <w:tmpl w:val="A7F03B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63548D3"/>
    <w:multiLevelType w:val="hybridMultilevel"/>
    <w:tmpl w:val="10B41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C3"/>
    <w:rsid w:val="0011143B"/>
    <w:rsid w:val="002B41A9"/>
    <w:rsid w:val="00356014"/>
    <w:rsid w:val="00402C0C"/>
    <w:rsid w:val="00413168"/>
    <w:rsid w:val="00516CB7"/>
    <w:rsid w:val="005B1757"/>
    <w:rsid w:val="006145A3"/>
    <w:rsid w:val="00620643"/>
    <w:rsid w:val="006D3D0C"/>
    <w:rsid w:val="00722BD6"/>
    <w:rsid w:val="00751021"/>
    <w:rsid w:val="0078128C"/>
    <w:rsid w:val="007F29B7"/>
    <w:rsid w:val="00803C1D"/>
    <w:rsid w:val="00816A4F"/>
    <w:rsid w:val="008B30B4"/>
    <w:rsid w:val="00953678"/>
    <w:rsid w:val="00A464CB"/>
    <w:rsid w:val="00B10BF2"/>
    <w:rsid w:val="00B73A79"/>
    <w:rsid w:val="00B9722A"/>
    <w:rsid w:val="00BB3EDA"/>
    <w:rsid w:val="00C561EC"/>
    <w:rsid w:val="00CC3A82"/>
    <w:rsid w:val="00DD4302"/>
    <w:rsid w:val="00F421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B8AA0"/>
  <w15:docId w15:val="{D91F8F75-2BF9-40B0-B59C-89345B09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61EC"/>
    <w:pPr>
      <w:ind w:left="720"/>
      <w:contextualSpacing/>
    </w:pPr>
  </w:style>
  <w:style w:type="paragraph" w:styleId="Bibliografa">
    <w:name w:val="Bibliography"/>
    <w:basedOn w:val="Normal"/>
    <w:next w:val="Normal"/>
    <w:uiPriority w:val="37"/>
    <w:unhideWhenUsed/>
    <w:rsid w:val="0078128C"/>
  </w:style>
  <w:style w:type="character" w:styleId="Hipervnculo">
    <w:name w:val="Hyperlink"/>
    <w:basedOn w:val="Fuentedeprrafopredeter"/>
    <w:uiPriority w:val="99"/>
    <w:unhideWhenUsed/>
    <w:rsid w:val="00722B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Bol19</b:Tag>
    <b:SourceType>JournalArticle</b:SourceType>
    <b:Guid>{EB73FDE0-E7A1-4C0B-BE0E-E903B1D72B9C}</b:Guid>
    <b:Author>
      <b:Author>
        <b:NameList>
          <b:Person>
            <b:Last>Boletín Epidemiológico</b:Last>
            <b:First>Zacatecas</b:First>
          </b:Person>
        </b:NameList>
      </b:Author>
    </b:Author>
    <b:Title>FIEBRE TIFOIDEA</b:Title>
    <b:JournalName>Boletin Epidemiológico Zacatecas</b:JournalName>
    <b:Year>2019</b:Year>
    <b:Pages>pp.1-6</b:Pages>
    <b:RefOrder>1</b:RefOrder>
  </b:Source>
  <b:Source>
    <b:Tag>OMS18</b:Tag>
    <b:SourceType>JournalArticle</b:SourceType>
    <b:Guid>{B4FF307D-5790-4F06-B14A-D802FABB644A}</b:Guid>
    <b:Author>
      <b:Author>
        <b:NameList>
          <b:Person>
            <b:Last>OMS</b:Last>
          </b:Person>
        </b:NameList>
      </b:Author>
    </b:Author>
    <b:Title>FIEBRE TIFOIDEA</b:Title>
    <b:JournalName>OMS</b:JournalName>
    <b:Year>2018</b:Year>
    <b:Pages>3 p.</b:Pages>
    <b:RefOrder>2</b:RefOrder>
  </b:Source>
  <b:Source>
    <b:Tag>Aso20</b:Tag>
    <b:SourceType>JournalArticle</b:SourceType>
    <b:Guid>{8805151E-E932-4263-8F38-BB0886878C41}</b:Guid>
    <b:Author>
      <b:Author>
        <b:NameList>
          <b:Person>
            <b:Last>Asociación Mexicana de Vacunología</b:Last>
          </b:Person>
        </b:NameList>
      </b:Author>
    </b:Author>
    <b:Title>TIFOIDEA: ENFERMEDAD</b:Title>
    <b:JournalName>Alianza por la vacunación</b:JournalName>
    <b:Year>2020</b:Year>
    <b:Pages>4 p.</b:Pages>
    <b:RefOrder>3</b:RefOrder>
  </b:Source>
  <b:Source>
    <b:Tag>Car81</b:Tag>
    <b:SourceType>JournalArticle</b:SourceType>
    <b:Guid>{DE6CAC8D-99AA-409B-9C91-F019ED6B17CF}</b:Guid>
    <b:Author>
      <b:Author>
        <b:NameList>
          <b:Person>
            <b:Last>Carrado</b:Last>
            <b:First>Bravo</b:First>
            <b:Middle>Teodoro</b:Middle>
          </b:Person>
        </b:NameList>
      </b:Author>
    </b:Author>
    <b:Title>La fiebre tifoidea y la vacunación antitifoídica</b:Title>
    <b:JournalName>Salud Pública de México</b:JournalName>
    <b:Year>1981</b:Year>
    <b:Pages>pp.103-158</b:Pages>
    <b:RefOrder>7</b:RefOrder>
  </b:Source>
  <b:Source>
    <b:Tag>GUÍ12</b:Tag>
    <b:SourceType>JournalArticle</b:SourceType>
    <b:Guid>{45D1ACAB-401D-4C64-843C-88AFE64919F6}</b:Guid>
    <b:Author>
      <b:Author>
        <b:NameList>
          <b:Person>
            <b:Last>GUÍA DE PRÁCTICA CLÍNICA</b:Last>
          </b:Person>
        </b:NameList>
      </b:Author>
    </b:Author>
    <b:Title>Prevención, Diagnóstico y Tratamiento  DE FIEBRE PARATIFOIDEA Y  OTRAS SALMONELOSIS</b:Title>
    <b:JournalName>GUÍA DE PRÁCTICA CLÍNICA</b:JournalName>
    <b:Year>2012</b:Year>
    <b:Pages>pp.1-44</b:Pages>
    <b:RefOrder>8</b:RefOrder>
  </b:Source>
  <b:Source>
    <b:Tag>Per08</b:Tag>
    <b:SourceType>JournalArticle</b:SourceType>
    <b:Guid>{AD62C283-C414-4AB3-B813-5AFBBC872B0C}</b:Guid>
    <b:Title>Fiebre tifoidea. Caracterizaci Fiebre tifoidea. Caracterizaci Caracterización epidemiológica. Situación n epidemiológica. Situación</b:Title>
    <b:JournalName>VacciMonitor</b:JournalName>
    <b:Year>1999</b:Year>
    <b:Pages>pp 1,10</b:Pages>
    <b:Author>
      <b:Author>
        <b:NameList>
          <b:Person>
            <b:Last>Perez Sierra</b:Last>
            <b:First>Albeto</b:First>
          </b:Person>
        </b:NameList>
      </b:Author>
    </b:Author>
    <b:RefOrder>4</b:RefOrder>
  </b:Source>
  <b:Source>
    <b:Tag>Gal16</b:Tag>
    <b:SourceType>JournalArticle</b:SourceType>
    <b:Guid>{4633E964-28DB-42E2-89F5-FD233B7D4D1D}</b:Guid>
    <b:Author>
      <b:Author>
        <b:NameList>
          <b:Person>
            <b:Last>Gallegos Bosh</b:Last>
            <b:First>Gisella</b:First>
          </b:Person>
        </b:NameList>
      </b:Author>
    </b:Author>
    <b:Title>Erradicación de fiebre tifoidea en Holguín.</b:Title>
    <b:JournalName>CCM</b:JournalName>
    <b:Year>2016</b:Year>
    <b:Pages>PP 1, 11</b:Pages>
    <b:RefOrder>5</b:RefOrder>
  </b:Source>
  <b:Source>
    <b:Tag>Com20</b:Tag>
    <b:SourceType>JournalArticle</b:SourceType>
    <b:Guid>{23AF8BDE-20EB-4EB4-90C4-BECC69146D5F}</b:Guid>
    <b:Author>
      <b:Author>
        <b:NameList>
          <b:Person>
            <b:Last>AEP</b:Last>
            <b:First>Comité</b:First>
            <b:Middle>Asesor de Vacunas de la</b:Middle>
          </b:Person>
        </b:NameList>
      </b:Author>
    </b:Author>
    <b:Title>Fiebre tifoidea</b:Title>
    <b:JournalName>MANUAL DE VACUNAS EN LÍNEA DE LA AEP</b:JournalName>
    <b:Year>2020</b:Year>
    <b:Pages>pp 1,11</b:Pages>
    <b:RefOrder>6</b:RefOrder>
  </b:Source>
  <b:Source>
    <b:Tag>Cal16</b:Tag>
    <b:SourceType>JournalArticle</b:SourceType>
    <b:Guid>{5CAF5E8F-25E8-4575-A284-775497DF7EE1}</b:Guid>
    <b:Author>
      <b:Author>
        <b:NameList>
          <b:Person>
            <b:Last>Calva Edmundo</b:Last>
          </b:Person>
        </b:NameList>
      </b:Author>
    </b:Author>
    <b:Title>Salmonella typhi y la fiebre tifoidea: de la biología molecular a la salud pública</b:Title>
    <b:JournalName>Instituto de Biotecnología, UNAM</b:JournalName>
    <b:Year>2016</b:Year>
    <b:Pages>pp 1,6 </b:Pages>
    <b:RefOrder>9</b:RefOrder>
  </b:Source>
  <b:Source>
    <b:Tag>San17</b:Tag>
    <b:SourceType>JournalArticle</b:SourceType>
    <b:Guid>{D09922EF-314A-4CB7-8C2E-19117C3F7316}</b:Guid>
    <b:Author>
      <b:Author>
        <b:NameList>
          <b:Person>
            <b:Last>Santos</b:Last>
            <b:First>René</b:First>
            <b:Middle>Guillermo</b:Middle>
          </b:Person>
        </b:NameList>
      </b:Author>
    </b:Author>
    <b:Title>Fiebre Tifoidea</b:Title>
    <b:JournalName>Ministerio de la Salud del Slavador </b:JournalName>
    <b:Year>2017</b:Year>
    <b:Pages>1/24</b:Pages>
    <b:RefOrder>10</b:RefOrder>
  </b:Source>
  <b:Source>
    <b:Tag>Gar20</b:Tag>
    <b:SourceType>JournalArticle</b:SourceType>
    <b:Guid>{D9D7EE49-494D-45A5-ACEA-904C1044641D}</b:Guid>
    <b:Author>
      <b:Author>
        <b:NameList>
          <b:Person>
            <b:Last>Garcia</b:Last>
            <b:First>Barthe</b:First>
            <b:Middle>Monica</b:Middle>
          </b:Person>
        </b:NameList>
      </b:Author>
    </b:Author>
    <b:Title>LA TRÁGICA HISTORIA MARY MALLON “MARÍA TIFOIDEA”</b:Title>
    <b:JournalName>Relatos históricos</b:JournalName>
    <b:Year>2020</b:Year>
    <b:Pages>p,1.3 </b:Pages>
    <b:RefOrder>11</b:RefOrder>
  </b:Source>
  <b:Source>
    <b:Tag>Jar20</b:Tag>
    <b:SourceType>JournalArticle</b:SourceType>
    <b:Guid>{9DF5D157-8696-4FEC-B3A6-66FA13D5A8F5}</b:Guid>
    <b:Author>
      <b:Author>
        <b:NameList>
          <b:Person>
            <b:Last>Jara</b:Last>
            <b:First>Estanislao</b:First>
          </b:Person>
        </b:NameList>
      </b:Author>
    </b:Author>
    <b:Title>fiebre tifoidea: la epidemia que asoló méxico en el siglo xvi</b:Title>
    <b:JournalName>Historia national geographic</b:JournalName>
    <b:Year>2020</b:Year>
    <b:Pages>1-3</b:Pages>
    <b:RefOrder>12</b:RefOrder>
  </b:Source>
  <b:Source>
    <b:Tag>Ort04</b:Tag>
    <b:SourceType>JournalArticle</b:SourceType>
    <b:Guid>{41E65FEF-316E-4B60-BB2C-5472F83F7B31}</b:Guid>
    <b:Author>
      <b:Author>
        <b:NameList>
          <b:Person>
            <b:Last>Ortiz</b:Last>
            <b:First>Pinela</b:First>
            <b:Middle>Adolfo</b:Middle>
          </b:Person>
        </b:NameList>
      </b:Author>
    </b:Author>
    <b:Title>Incidencia de Fiebre Tifoidea</b:Title>
    <b:JournalName>Facultad de Ciencias Químicas</b:JournalName>
    <b:Year>2004</b:Year>
    <b:Pages>pp.1-91</b:Pages>
    <b:RefOrder>13</b:RefOrder>
  </b:Source>
  <b:Source>
    <b:Tag>Bad18</b:Tag>
    <b:SourceType>JournalArticle</b:SourceType>
    <b:Guid>{EAAE0066-17AB-4FA5-A816-C12BC2D58974}</b:Guid>
    <b:Author>
      <b:Author>
        <b:NameList>
          <b:Person>
            <b:Last>Bada</b:Last>
            <b:First>Cespedes</b:First>
            <b:Middle>Consuelo Milagros</b:Middle>
          </b:Person>
          <b:Person>
            <b:Last>Rafaela</b:Last>
            <b:First>Raymundo</b:First>
            <b:Middle>Padua Elizabeth</b:Middle>
          </b:Person>
        </b:NameList>
      </b:Author>
    </b:Author>
    <b:Title>Incidencia de fiebre tifoidea, fiebre paratifoidea y fiebre de malta en pobladores del AAHH Villa Maria del Triunfo 2018</b:Title>
    <b:JournalName>Incidencia de fiebre tifoidea, fiebre paratifoidea y fiebre de malta en pobladores del AAHH Villa Maria del Triunfo 2018</b:JournalName>
    <b:Year>2018</b:Year>
    <b:Pages>1 a 53 </b:Pages>
    <b:RefOrder>14</b:RefOrder>
  </b:Source>
</b:Sources>
</file>

<file path=customXml/itemProps1.xml><?xml version="1.0" encoding="utf-8"?>
<ds:datastoreItem xmlns:ds="http://schemas.openxmlformats.org/officeDocument/2006/customXml" ds:itemID="{B04F5E4F-7F24-40D9-BBCA-8844A14BB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1092</Words>
  <Characters>6006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dc:creator>
  <cp:lastModifiedBy>Acer Windows 8.1</cp:lastModifiedBy>
  <cp:revision>2</cp:revision>
  <cp:lastPrinted>2021-03-07T04:55:00Z</cp:lastPrinted>
  <dcterms:created xsi:type="dcterms:W3CDTF">2021-03-07T04:56:00Z</dcterms:created>
  <dcterms:modified xsi:type="dcterms:W3CDTF">2021-03-07T04:56:00Z</dcterms:modified>
</cp:coreProperties>
</file>