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D0" w:rsidRPr="004B442D" w:rsidRDefault="006954D0" w:rsidP="006954D0">
      <w:pPr>
        <w:rPr>
          <w:rFonts w:ascii="Calibri" w:eastAsia="Calibri" w:hAnsi="Calibri" w:cs="Times New Roman"/>
          <w:sz w:val="56"/>
        </w:rPr>
      </w:pPr>
      <w:r w:rsidRPr="004B442D">
        <w:rPr>
          <w:rFonts w:ascii="Calibri" w:eastAsia="Calibri" w:hAnsi="Calibri" w:cs="Times New Roman"/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B19DC36" wp14:editId="3A21F223">
            <wp:simplePos x="0" y="0"/>
            <wp:positionH relativeFrom="column">
              <wp:posOffset>-374650</wp:posOffset>
            </wp:positionH>
            <wp:positionV relativeFrom="paragraph">
              <wp:posOffset>-448310</wp:posOffset>
            </wp:positionV>
            <wp:extent cx="2519680" cy="939165"/>
            <wp:effectExtent l="0" t="0" r="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sz w:val="40"/>
          <w:szCs w:val="40"/>
        </w:rPr>
      </w:pP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Nombre de alumnos: Erika Jacqueline Pérez Moreno  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Nombre del profesor: 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noProof/>
          <w:color w:val="1F3864"/>
          <w:sz w:val="40"/>
          <w:szCs w:val="40"/>
          <w:lang w:eastAsia="es-MX"/>
        </w:rPr>
        <w:drawing>
          <wp:anchor distT="0" distB="0" distL="114300" distR="114300" simplePos="0" relativeHeight="251660288" behindDoc="1" locked="0" layoutInCell="1" allowOverlap="1" wp14:anchorId="4352FF7B" wp14:editId="621FF88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Nombre del trabajo: </w:t>
      </w:r>
      <w:r>
        <w:rPr>
          <w:rFonts w:ascii="Century Gothic" w:eastAsia="Calibri" w:hAnsi="Century Gothic" w:cs="Times New Roman"/>
          <w:b/>
          <w:color w:val="1F3864"/>
          <w:sz w:val="40"/>
          <w:szCs w:val="40"/>
        </w:rPr>
        <w:t>Cuadro Comparativo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Materia: </w:t>
      </w:r>
      <w:r>
        <w:rPr>
          <w:rFonts w:ascii="Century Gothic" w:eastAsia="Calibri" w:hAnsi="Century Gothic" w:cs="Times New Roman"/>
          <w:b/>
          <w:color w:val="1F3864"/>
          <w:sz w:val="40"/>
          <w:szCs w:val="40"/>
        </w:rPr>
        <w:t>Historia del Arte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Grado: 1 cuatrimestre 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b/>
          <w:color w:val="1F3864"/>
          <w:sz w:val="40"/>
          <w:szCs w:val="40"/>
        </w:rPr>
      </w:pPr>
      <w:r w:rsidRPr="004B442D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Grupo: </w:t>
      </w:r>
      <w:r>
        <w:rPr>
          <w:rFonts w:ascii="Century Gothic" w:eastAsia="Calibri" w:hAnsi="Century Gothic" w:cs="Times New Roman"/>
          <w:b/>
          <w:color w:val="1F3864"/>
          <w:sz w:val="40"/>
          <w:szCs w:val="40"/>
        </w:rPr>
        <w:t>A</w:t>
      </w:r>
    </w:p>
    <w:p w:rsidR="006954D0" w:rsidRPr="004B442D" w:rsidRDefault="006954D0" w:rsidP="006954D0">
      <w:pPr>
        <w:spacing w:after="160" w:line="240" w:lineRule="auto"/>
        <w:rPr>
          <w:rFonts w:ascii="Century Gothic" w:eastAsia="Calibri" w:hAnsi="Century Gothic" w:cs="Times New Roman"/>
          <w:color w:val="1F3864"/>
        </w:rPr>
      </w:pPr>
    </w:p>
    <w:p w:rsidR="006954D0" w:rsidRPr="004B442D" w:rsidRDefault="006954D0" w:rsidP="006954D0">
      <w:pPr>
        <w:spacing w:after="160" w:line="259" w:lineRule="auto"/>
        <w:jc w:val="right"/>
        <w:rPr>
          <w:rFonts w:ascii="Century Gothic" w:eastAsia="Calibri" w:hAnsi="Century Gothic" w:cs="Times New Roman"/>
          <w:color w:val="1F3864"/>
        </w:rPr>
      </w:pPr>
    </w:p>
    <w:p w:rsidR="006954D0" w:rsidRDefault="006954D0" w:rsidP="006954D0">
      <w:pPr>
        <w:spacing w:after="160" w:line="259" w:lineRule="auto"/>
        <w:jc w:val="right"/>
        <w:rPr>
          <w:rFonts w:ascii="Century Gothic" w:eastAsia="Calibri" w:hAnsi="Century Gothic" w:cs="Times New Roman"/>
          <w:color w:val="1F3864"/>
        </w:rPr>
      </w:pPr>
      <w:r w:rsidRPr="004B442D">
        <w:rPr>
          <w:rFonts w:ascii="Century Gothic" w:eastAsia="Calibri" w:hAnsi="Century Gothic" w:cs="Times New Roman"/>
          <w:noProof/>
          <w:color w:val="1F3864"/>
          <w:lang w:eastAsia="es-MX"/>
        </w:rPr>
        <w:drawing>
          <wp:anchor distT="0" distB="0" distL="114300" distR="114300" simplePos="0" relativeHeight="251661312" behindDoc="1" locked="0" layoutInCell="1" allowOverlap="1" wp14:anchorId="7F8F6ED8" wp14:editId="3C9C6010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color w:val="1F3864"/>
        </w:rPr>
        <w:t>Ocosingo Chiapas a 22</w:t>
      </w:r>
      <w:r w:rsidRPr="004B442D">
        <w:rPr>
          <w:rFonts w:ascii="Century Gothic" w:eastAsia="Calibri" w:hAnsi="Century Gothic" w:cs="Times New Roman"/>
          <w:color w:val="1F3864"/>
        </w:rPr>
        <w:t xml:space="preserve"> de </w:t>
      </w:r>
      <w:r>
        <w:rPr>
          <w:rFonts w:ascii="Century Gothic" w:eastAsia="Calibri" w:hAnsi="Century Gothic" w:cs="Times New Roman"/>
          <w:color w:val="1F3864"/>
        </w:rPr>
        <w:t xml:space="preserve">octubre </w:t>
      </w:r>
      <w:r w:rsidRPr="004B442D">
        <w:rPr>
          <w:rFonts w:ascii="Century Gothic" w:eastAsia="Calibri" w:hAnsi="Century Gothic" w:cs="Times New Roman"/>
          <w:color w:val="1F3864"/>
        </w:rPr>
        <w:t>de 2020.</w:t>
      </w:r>
    </w:p>
    <w:p w:rsidR="006954D0" w:rsidRDefault="006954D0" w:rsidP="006954D0">
      <w:pPr>
        <w:rPr>
          <w:rFonts w:ascii="Century Gothic" w:eastAsia="Calibri" w:hAnsi="Century Gothic" w:cs="Times New Roman"/>
          <w:color w:val="1F3864"/>
        </w:rPr>
        <w:sectPr w:rsidR="006954D0" w:rsidSect="006954D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eastAsia="Calibri" w:hAnsi="Century Gothic" w:cs="Times New Roman"/>
          <w:color w:val="1F3864"/>
        </w:rPr>
        <w:br w:type="page"/>
      </w:r>
    </w:p>
    <w:p w:rsidR="006954D0" w:rsidRPr="004B442D" w:rsidRDefault="006954D0" w:rsidP="006954D0">
      <w:pPr>
        <w:spacing w:after="160" w:line="259" w:lineRule="auto"/>
        <w:rPr>
          <w:rFonts w:ascii="Century Gothic" w:eastAsia="Calibri" w:hAnsi="Century Gothic" w:cs="Times New Roman"/>
          <w:color w:val="1F386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789"/>
        <w:gridCol w:w="2084"/>
        <w:gridCol w:w="1969"/>
        <w:gridCol w:w="2017"/>
      </w:tblGrid>
      <w:tr w:rsidR="006954D0" w:rsidTr="003F26F1">
        <w:tc>
          <w:tcPr>
            <w:tcW w:w="1526" w:type="dxa"/>
          </w:tcPr>
          <w:p w:rsidR="006954D0" w:rsidRDefault="006954D0"/>
        </w:tc>
        <w:tc>
          <w:tcPr>
            <w:tcW w:w="2835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Fauvismo</w:t>
            </w:r>
          </w:p>
        </w:tc>
        <w:tc>
          <w:tcPr>
            <w:tcW w:w="2789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Futurismo</w:t>
            </w:r>
          </w:p>
        </w:tc>
        <w:tc>
          <w:tcPr>
            <w:tcW w:w="2084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Expresionismo </w:t>
            </w:r>
            <w:r w:rsidR="006C0AE6"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alemán</w:t>
            </w:r>
          </w:p>
        </w:tc>
        <w:tc>
          <w:tcPr>
            <w:tcW w:w="1969" w:type="dxa"/>
          </w:tcPr>
          <w:p w:rsidR="006954D0" w:rsidRPr="006C0AE6" w:rsidRDefault="006C0AE6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Dadaísmo</w:t>
            </w:r>
            <w:r w:rsidR="006954D0"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 la </w:t>
            </w: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función</w:t>
            </w:r>
            <w:r w:rsidR="006954D0"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de repulsa</w:t>
            </w:r>
          </w:p>
        </w:tc>
        <w:tc>
          <w:tcPr>
            <w:tcW w:w="2017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Surrealismo</w:t>
            </w:r>
          </w:p>
        </w:tc>
      </w:tr>
      <w:tr w:rsidR="006954D0" w:rsidTr="003F26F1">
        <w:tc>
          <w:tcPr>
            <w:tcW w:w="1526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i/>
                <w:iCs/>
                <w:color w:val="000000" w:themeColor="text1"/>
                <w:shd w:val="clear" w:color="auto" w:fill="FFFFFF"/>
              </w:rPr>
              <w:t>Origen</w:t>
            </w:r>
          </w:p>
        </w:tc>
        <w:tc>
          <w:tcPr>
            <w:tcW w:w="2835" w:type="dxa"/>
          </w:tcPr>
          <w:p w:rsidR="006954D0" w:rsidRPr="006C0AE6" w:rsidRDefault="006C0AE6">
            <w:pPr>
              <w:rPr>
                <w:sz w:val="20"/>
                <w:szCs w:val="20"/>
              </w:rPr>
            </w:pPr>
            <w:r w:rsidRPr="006C0AE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Fue</w:t>
            </w:r>
            <w:r w:rsidRPr="006C0AE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un movimiento pictórico originado en Francia, alrededor de 1904 a 1908. Luego se expandió a otros países, en años posteriores.</w:t>
            </w:r>
          </w:p>
        </w:tc>
        <w:tc>
          <w:tcPr>
            <w:tcW w:w="2789" w:type="dxa"/>
          </w:tcPr>
          <w:p w:rsidR="006954D0" w:rsidRPr="00D67E16" w:rsidRDefault="00D67E16">
            <w:pPr>
              <w:rPr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 </w:t>
            </w:r>
            <w:r w:rsidRPr="00D67E1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Futurismo</w:t>
            </w: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es un movimiento literario y artístico que surge en Italia en el primer decenio del S. XX mientras el Cubismo aparece en Francia. Gira en torno a la figura de Marinetti, quien publica en el periódico parisiense Le Figaro el 20 de Febrero de 1909 el Manifiesto </w:t>
            </w:r>
            <w:r w:rsidRPr="00D67E1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Futurista</w:t>
            </w: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4" w:type="dxa"/>
          </w:tcPr>
          <w:p w:rsidR="006954D0" w:rsidRPr="003F26F1" w:rsidRDefault="003F26F1">
            <w:pPr>
              <w:rPr>
                <w:sz w:val="20"/>
                <w:szCs w:val="20"/>
              </w:rPr>
            </w:pPr>
            <w:r w:rsidRPr="003F26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fue un movimiento cultural surgido en Alemania a principios del siglo XX, que se plasmó en un gran número de campos: artes plásticas, arquitectura, literatura, música, cine, teatro, danza, fotografía, etc.</w:t>
            </w:r>
          </w:p>
        </w:tc>
        <w:tc>
          <w:tcPr>
            <w:tcW w:w="1969" w:type="dxa"/>
          </w:tcPr>
          <w:p w:rsidR="006954D0" w:rsidRPr="006F4DCD" w:rsidRDefault="006F4DCD">
            <w:pPr>
              <w:rPr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Fue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un movimiento artístico que surgió en Europa (ciudad suiza de Zúrich) en el año 1916. También conocido como movimiento Dada, esta vanguardia fue creada por un grupo de artistas (pintores, escritores y poetas) de la Primera Guerra Mundial refugiados en 1916 en Zurich, Suiza.</w:t>
            </w:r>
          </w:p>
        </w:tc>
        <w:tc>
          <w:tcPr>
            <w:tcW w:w="2017" w:type="dxa"/>
          </w:tcPr>
          <w:p w:rsidR="006954D0" w:rsidRPr="00124125" w:rsidRDefault="00124125">
            <w:pPr>
              <w:rPr>
                <w:sz w:val="20"/>
                <w:szCs w:val="20"/>
              </w:rPr>
            </w:pPr>
            <w:r w:rsidRPr="0012412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 </w:t>
            </w:r>
            <w:r w:rsidRPr="00124125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Surrealismo</w:t>
            </w:r>
            <w:r w:rsidRPr="0012412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o superrealismo es un movimiento artístico y literario surgido en Francia a partir del dadaísmo, en la década de los años 1920, en torno a la personalidad del poeta André Breton.</w:t>
            </w:r>
          </w:p>
        </w:tc>
      </w:tr>
      <w:tr w:rsidR="006954D0" w:rsidTr="003F26F1">
        <w:tc>
          <w:tcPr>
            <w:tcW w:w="1526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i/>
                <w:iCs/>
                <w:color w:val="000000" w:themeColor="text1"/>
                <w:shd w:val="clear" w:color="auto" w:fill="FFFFFF"/>
              </w:rPr>
              <w:t>Características</w:t>
            </w:r>
          </w:p>
        </w:tc>
        <w:tc>
          <w:tcPr>
            <w:tcW w:w="2835" w:type="dxa"/>
          </w:tcPr>
          <w:p w:rsidR="006C0AE6" w:rsidRPr="006C0AE6" w:rsidRDefault="006C0AE6" w:rsidP="006C0AE6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6C0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Fue una reacción contra el Impresionismo.</w:t>
            </w:r>
          </w:p>
          <w:p w:rsidR="006C0AE6" w:rsidRPr="006C0AE6" w:rsidRDefault="006C0AE6" w:rsidP="006C0AE6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6C0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Los </w:t>
            </w:r>
            <w:r w:rsidRPr="006C0AE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MX"/>
              </w:rPr>
              <w:t>fauvistas</w:t>
            </w:r>
            <w:r w:rsidRPr="006C0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creían que a través de los colores podían expresar sentimientos.</w:t>
            </w:r>
          </w:p>
          <w:p w:rsidR="006C0AE6" w:rsidRPr="006C0AE6" w:rsidRDefault="006C0AE6" w:rsidP="006C0AE6">
            <w:pPr>
              <w:numPr>
                <w:ilvl w:val="0"/>
                <w:numId w:val="1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6C0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Buscan realzar el valor del color en sí mismo, rechazando la paleta de tonos naturalistas empleando en cambio colores </w:t>
            </w:r>
            <w:r w:rsidRPr="006C0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violentos para crear un mayor énfasis expresivo.</w:t>
            </w:r>
          </w:p>
          <w:p w:rsidR="006954D0" w:rsidRPr="006C0AE6" w:rsidRDefault="006954D0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F</w:t>
            </w: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ue una vanguardia que busc</w:t>
            </w: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aba reflejar el movimiento.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 dinamismo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la velocidad, la fuerza interna de las cosas,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la exaltación de la guerra, 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las máquinas,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lo nacional</w:t>
            </w:r>
          </w:p>
          <w:p w:rsidR="00D67E16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lo sensual </w:t>
            </w:r>
          </w:p>
          <w:p w:rsidR="006954D0" w:rsidRPr="00D67E16" w:rsidRDefault="00D67E16" w:rsidP="00D67E1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67E1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todo lo que fuese moderno.</w:t>
            </w:r>
          </w:p>
        </w:tc>
        <w:tc>
          <w:tcPr>
            <w:tcW w:w="2084" w:type="dxa"/>
          </w:tcPr>
          <w:p w:rsidR="003F26F1" w:rsidRPr="006F4DCD" w:rsidRDefault="003F26F1" w:rsidP="003F26F1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Surge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como reacción al impresionismo, frente al na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turalismo </w:t>
            </w:r>
          </w:p>
          <w:p w:rsidR="003F26F1" w:rsidRPr="006F4DCD" w:rsidRDefault="003F26F1" w:rsidP="003F26F1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 carácter 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positivista de este movimiento</w:t>
            </w:r>
          </w:p>
          <w:p w:rsidR="006954D0" w:rsidRPr="003F26F1" w:rsidRDefault="003F26F1" w:rsidP="003F26F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Qué plantea Un arte más personal e intuitivo, donde predomina </w:t>
            </w:r>
            <w:r w:rsidRPr="006F4DC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la visión interior del artista – la “expresión”– frente a la plasmación de la realidad – la “impresión”</w:t>
            </w:r>
          </w:p>
        </w:tc>
        <w:tc>
          <w:tcPr>
            <w:tcW w:w="1969" w:type="dxa"/>
          </w:tcPr>
          <w:p w:rsidR="006F4DCD" w:rsidRPr="006F4DCD" w:rsidRDefault="006F4DCD" w:rsidP="006F4DCD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valora la duda, la rebeldía.</w:t>
            </w:r>
          </w:p>
          <w:p w:rsidR="006F4DCD" w:rsidRPr="006F4DCD" w:rsidRDefault="006F4DCD" w:rsidP="006F4DCD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F4DC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 destrucción</w:t>
            </w:r>
          </w:p>
          <w:p w:rsidR="006954D0" w:rsidRDefault="006F4DCD" w:rsidP="006F4DCD">
            <w:pPr>
              <w:pStyle w:val="Prrafodelista"/>
              <w:numPr>
                <w:ilvl w:val="0"/>
                <w:numId w:val="3"/>
              </w:numPr>
            </w:pPr>
            <w:r w:rsidRPr="006F4DC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lo católico y lo espontáneo.</w:t>
            </w:r>
          </w:p>
        </w:tc>
        <w:tc>
          <w:tcPr>
            <w:tcW w:w="2017" w:type="dxa"/>
          </w:tcPr>
          <w:p w:rsidR="00124125" w:rsidRPr="00124125" w:rsidRDefault="00124125" w:rsidP="00124125">
            <w:pPr>
              <w:pStyle w:val="Prrafodelista"/>
              <w:numPr>
                <w:ilvl w:val="0"/>
                <w:numId w:val="3"/>
              </w:numPr>
            </w:pPr>
            <w:r w:rsidRPr="001241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creía en la existencia de otra realidad y en el pensamiento libre.</w:t>
            </w:r>
          </w:p>
          <w:p w:rsidR="00124125" w:rsidRPr="00124125" w:rsidRDefault="00124125" w:rsidP="00124125">
            <w:pPr>
              <w:pStyle w:val="Prrafodelista"/>
              <w:numPr>
                <w:ilvl w:val="0"/>
                <w:numId w:val="3"/>
              </w:numPr>
            </w:pPr>
            <w:r w:rsidRPr="001241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Plasmó un mundo absurdo, ilógico, donde la razón no puede dominar al </w:t>
            </w:r>
            <w:r w:rsidRPr="001241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subconsciente. Tomó del Dadaísmo, la importan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cia del azar y la rebeldía,</w:t>
            </w:r>
          </w:p>
          <w:p w:rsidR="006954D0" w:rsidRDefault="00124125" w:rsidP="00124125">
            <w:pPr>
              <w:pStyle w:val="Prrafodelista"/>
              <w:numPr>
                <w:ilvl w:val="0"/>
                <w:numId w:val="3"/>
              </w:numPr>
            </w:pPr>
            <w:r w:rsidRPr="001241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rechazó su carácter negativo y destructivo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6954D0" w:rsidTr="003F26F1">
        <w:tc>
          <w:tcPr>
            <w:tcW w:w="1526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Artistas del movimiento</w:t>
            </w:r>
          </w:p>
        </w:tc>
        <w:tc>
          <w:tcPr>
            <w:tcW w:w="2835" w:type="dxa"/>
          </w:tcPr>
          <w:p w:rsidR="006954D0" w:rsidRDefault="006C0AE6" w:rsidP="006C0AE6">
            <w:pPr>
              <w:pStyle w:val="Prrafodelista"/>
              <w:numPr>
                <w:ilvl w:val="0"/>
                <w:numId w:val="2"/>
              </w:numPr>
            </w:pPr>
            <w:r>
              <w:t>Henri Matisse</w:t>
            </w:r>
          </w:p>
          <w:p w:rsidR="006C0AE6" w:rsidRDefault="006C0AE6" w:rsidP="006C0AE6">
            <w:pPr>
              <w:pStyle w:val="Prrafodelista"/>
              <w:numPr>
                <w:ilvl w:val="0"/>
                <w:numId w:val="2"/>
              </w:numPr>
            </w:pPr>
            <w:r>
              <w:t xml:space="preserve">Andre Derain </w:t>
            </w:r>
          </w:p>
          <w:p w:rsidR="006C0AE6" w:rsidRDefault="006C0AE6" w:rsidP="006C0AE6">
            <w:pPr>
              <w:pStyle w:val="Prrafodelista"/>
              <w:numPr>
                <w:ilvl w:val="0"/>
                <w:numId w:val="2"/>
              </w:numPr>
            </w:pPr>
            <w:r>
              <w:t>Georges Braque</w:t>
            </w:r>
          </w:p>
        </w:tc>
        <w:tc>
          <w:tcPr>
            <w:tcW w:w="2789" w:type="dxa"/>
          </w:tcPr>
          <w:p w:rsidR="006954D0" w:rsidRDefault="00D67E16" w:rsidP="00D67E16">
            <w:pPr>
              <w:pStyle w:val="Prrafodelista"/>
              <w:numPr>
                <w:ilvl w:val="0"/>
                <w:numId w:val="2"/>
              </w:numPr>
            </w:pPr>
            <w:r>
              <w:t>Gino Severini</w:t>
            </w:r>
          </w:p>
          <w:p w:rsidR="00D67E16" w:rsidRDefault="003F26F1" w:rsidP="00D67E16">
            <w:pPr>
              <w:pStyle w:val="Prrafodelista"/>
              <w:numPr>
                <w:ilvl w:val="0"/>
                <w:numId w:val="2"/>
              </w:numPr>
            </w:pPr>
            <w:r>
              <w:t>Joseph Stella</w:t>
            </w:r>
          </w:p>
          <w:p w:rsidR="003F26F1" w:rsidRDefault="003F26F1" w:rsidP="00D67E16">
            <w:pPr>
              <w:pStyle w:val="Prrafodelista"/>
              <w:numPr>
                <w:ilvl w:val="0"/>
                <w:numId w:val="2"/>
              </w:numPr>
            </w:pPr>
            <w:r w:rsidRPr="003F26F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Jean Moréas</w:t>
            </w:r>
          </w:p>
        </w:tc>
        <w:tc>
          <w:tcPr>
            <w:tcW w:w="2084" w:type="dxa"/>
          </w:tcPr>
          <w:p w:rsidR="006F4DCD" w:rsidRPr="006F4DCD" w:rsidRDefault="006F4DCD" w:rsidP="006F4DCD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6F4DC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Edvard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 Munch (Noruega, 1863-1944).</w:t>
            </w:r>
          </w:p>
          <w:p w:rsidR="006F4DCD" w:rsidRPr="006F4DCD" w:rsidRDefault="006F4DCD" w:rsidP="006F4DCD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6F4DC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James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 xml:space="preserve"> Ensor (Bélgica, 1860-1949).</w:t>
            </w:r>
          </w:p>
          <w:p w:rsidR="006F4DCD" w:rsidRPr="006F4DCD" w:rsidRDefault="006F4DCD" w:rsidP="006F4DCD">
            <w:pPr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</w:pPr>
            <w:r w:rsidRPr="006F4DCD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Emil Nolde (</w:t>
            </w:r>
            <w:r w:rsidRPr="006F4DC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MX"/>
              </w:rPr>
              <w:t>Alemania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MX"/>
              </w:rPr>
              <w:t>, 1867-1956).</w:t>
            </w:r>
          </w:p>
          <w:p w:rsidR="006954D0" w:rsidRDefault="006954D0"/>
        </w:tc>
        <w:tc>
          <w:tcPr>
            <w:tcW w:w="1969" w:type="dxa"/>
          </w:tcPr>
          <w:p w:rsidR="006954D0" w:rsidRDefault="006F4DCD" w:rsidP="006F4DCD">
            <w:pPr>
              <w:pStyle w:val="Prrafodelista"/>
              <w:numPr>
                <w:ilvl w:val="0"/>
                <w:numId w:val="2"/>
              </w:numPr>
            </w:pPr>
            <w:r>
              <w:t xml:space="preserve">Marcel </w:t>
            </w:r>
            <w:proofErr w:type="spellStart"/>
            <w:r>
              <w:t>Janco</w:t>
            </w:r>
            <w:proofErr w:type="spellEnd"/>
          </w:p>
          <w:p w:rsidR="006F4DCD" w:rsidRDefault="006F4DCD" w:rsidP="006F4DCD">
            <w:pPr>
              <w:pStyle w:val="Prrafodelista"/>
              <w:numPr>
                <w:ilvl w:val="0"/>
                <w:numId w:val="2"/>
              </w:numPr>
            </w:pPr>
            <w:r>
              <w:t xml:space="preserve">Hugo </w:t>
            </w:r>
            <w:proofErr w:type="spellStart"/>
            <w:r>
              <w:t>Ball</w:t>
            </w:r>
            <w:proofErr w:type="spellEnd"/>
          </w:p>
          <w:p w:rsidR="006F4DCD" w:rsidRDefault="006F4DCD" w:rsidP="006F4DCD">
            <w:pPr>
              <w:pStyle w:val="Prrafodelista"/>
              <w:numPr>
                <w:ilvl w:val="0"/>
                <w:numId w:val="2"/>
              </w:numPr>
            </w:pPr>
            <w:r>
              <w:t xml:space="preserve">Jean </w:t>
            </w:r>
            <w:proofErr w:type="spellStart"/>
            <w:r>
              <w:t>Arp</w:t>
            </w:r>
            <w:proofErr w:type="spellEnd"/>
          </w:p>
        </w:tc>
        <w:tc>
          <w:tcPr>
            <w:tcW w:w="2017" w:type="dxa"/>
          </w:tcPr>
          <w:p w:rsidR="006954D0" w:rsidRDefault="00124125" w:rsidP="00124125">
            <w:pPr>
              <w:pStyle w:val="Prrafodelista"/>
              <w:numPr>
                <w:ilvl w:val="0"/>
                <w:numId w:val="2"/>
              </w:numPr>
            </w:pPr>
            <w:r>
              <w:t>Antonio Berni</w:t>
            </w:r>
          </w:p>
          <w:p w:rsidR="00124125" w:rsidRDefault="00124125" w:rsidP="00124125">
            <w:pPr>
              <w:pStyle w:val="Prrafodelista"/>
              <w:numPr>
                <w:ilvl w:val="0"/>
                <w:numId w:val="2"/>
              </w:numPr>
            </w:pPr>
            <w:r>
              <w:t>Frida Kahlo</w:t>
            </w:r>
          </w:p>
          <w:p w:rsidR="00124125" w:rsidRDefault="00124125" w:rsidP="0012412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Andre</w:t>
            </w:r>
            <w:proofErr w:type="spellEnd"/>
            <w:r>
              <w:t xml:space="preserve"> Breton</w:t>
            </w:r>
          </w:p>
          <w:p w:rsidR="00124125" w:rsidRDefault="00124125" w:rsidP="00124125">
            <w:pPr>
              <w:pStyle w:val="Prrafodelista"/>
            </w:pPr>
          </w:p>
        </w:tc>
      </w:tr>
      <w:tr w:rsidR="006954D0" w:rsidTr="003F26F1">
        <w:tc>
          <w:tcPr>
            <w:tcW w:w="1526" w:type="dxa"/>
          </w:tcPr>
          <w:p w:rsidR="006954D0" w:rsidRPr="006C0AE6" w:rsidRDefault="006954D0">
            <w:pPr>
              <w:rPr>
                <w:rFonts w:ascii="Arial" w:hAnsi="Arial" w:cs="Arial"/>
                <w:color w:val="000000" w:themeColor="text1"/>
              </w:rPr>
            </w:pPr>
            <w:r w:rsidRPr="006C0AE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Obras</w:t>
            </w:r>
          </w:p>
        </w:tc>
        <w:tc>
          <w:tcPr>
            <w:tcW w:w="2835" w:type="dxa"/>
          </w:tcPr>
          <w:p w:rsidR="006954D0" w:rsidRDefault="006C0AE6">
            <w:r>
              <w:rPr>
                <w:noProof/>
                <w:lang w:eastAsia="es-MX"/>
              </w:rPr>
              <w:drawing>
                <wp:inline distT="0" distB="0" distL="0" distR="0" wp14:anchorId="4F88C541" wp14:editId="4D0432F1">
                  <wp:extent cx="1133475" cy="141477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uvismo-ck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11" cy="141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52329B5" wp14:editId="2103DCA6">
                  <wp:extent cx="1504950" cy="932054"/>
                  <wp:effectExtent l="0" t="0" r="0" b="190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e-derain-paisaje-chatou-fauvist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93" cy="93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6954D0" w:rsidRDefault="003F26F1"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C348241" wp14:editId="7575C90F">
                  <wp:extent cx="1143000" cy="57150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ismo-2-e155716386828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13" cy="57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26F1" w:rsidRDefault="003F26F1">
            <w:r>
              <w:rPr>
                <w:noProof/>
                <w:lang w:eastAsia="es-MX"/>
              </w:rPr>
              <w:drawing>
                <wp:inline distT="0" distB="0" distL="0" distR="0" wp14:anchorId="42AF2F4C" wp14:editId="55B65159">
                  <wp:extent cx="1460945" cy="819150"/>
                  <wp:effectExtent l="0" t="0" r="635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5598225_356558_1395600461_noticia_norma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762" cy="8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:rsidR="006954D0" w:rsidRDefault="006F4DCD">
            <w:r>
              <w:rPr>
                <w:noProof/>
                <w:lang w:eastAsia="es-MX"/>
              </w:rPr>
              <w:drawing>
                <wp:inline distT="0" distB="0" distL="0" distR="0">
                  <wp:extent cx="1123950" cy="1581834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63" cy="158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186180" cy="892810"/>
                  <wp:effectExtent l="0" t="0" r="0" b="254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).jf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6954D0" w:rsidRDefault="00124125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113155" cy="1558290"/>
                  <wp:effectExtent l="0" t="0" r="0" b="381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4)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4DCD"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113155" cy="1849120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3).jf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6954D0" w:rsidRDefault="00124125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968169" cy="1285875"/>
                  <wp:effectExtent l="0" t="0" r="381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5).jf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011" cy="128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143000" cy="1114425"/>
                  <wp:effectExtent l="0" t="0" r="0" b="9525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1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01C" w:rsidRDefault="00C7501C"/>
    <w:sectPr w:rsidR="00C7501C" w:rsidSect="006954D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55F"/>
    <w:multiLevelType w:val="hybridMultilevel"/>
    <w:tmpl w:val="CDACF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2385D"/>
    <w:multiLevelType w:val="hybridMultilevel"/>
    <w:tmpl w:val="2C7E6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B6E47"/>
    <w:multiLevelType w:val="multilevel"/>
    <w:tmpl w:val="C8B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B6ADA"/>
    <w:multiLevelType w:val="multilevel"/>
    <w:tmpl w:val="185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D0"/>
    <w:rsid w:val="00124125"/>
    <w:rsid w:val="003F26F1"/>
    <w:rsid w:val="006954D0"/>
    <w:rsid w:val="006C0AE6"/>
    <w:rsid w:val="006F4DCD"/>
    <w:rsid w:val="00C7501C"/>
    <w:rsid w:val="00D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A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A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f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fif"/><Relationship Id="rId2" Type="http://schemas.openxmlformats.org/officeDocument/2006/relationships/numbering" Target="numbering.xml"/><Relationship Id="rId16" Type="http://schemas.openxmlformats.org/officeDocument/2006/relationships/image" Target="media/image10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fi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E8CF-9FDD-46EF-BD07-7753844D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Ciber01</dc:creator>
  <cp:lastModifiedBy>Ciber01</cp:lastModifiedBy>
  <cp:revision>1</cp:revision>
  <dcterms:created xsi:type="dcterms:W3CDTF">2020-10-29T23:18:00Z</dcterms:created>
  <dcterms:modified xsi:type="dcterms:W3CDTF">2020-10-30T00:17:00Z</dcterms:modified>
</cp:coreProperties>
</file>