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707A6" w14:textId="38B6F7E0" w:rsidR="001A6986" w:rsidRPr="00B20444" w:rsidRDefault="00B20444">
      <w:pPr>
        <w:rPr>
          <w:rFonts w:ascii="Arial" w:hAnsi="Arial" w:cs="Arial"/>
        </w:rPr>
      </w:pPr>
      <w:r w:rsidRPr="00B20444">
        <w:rPr>
          <w:rFonts w:ascii="Arial" w:hAnsi="Arial" w:cs="Arial"/>
        </w:rPr>
        <w:t>NOMBRE DE LA ALUMNA: SAIDE SELENE VELAZQUEZ GALLARDO.</w:t>
      </w:r>
    </w:p>
    <w:p w14:paraId="5E50180D" w14:textId="3D6E9F17" w:rsidR="00B20444" w:rsidRPr="00B20444" w:rsidRDefault="00B20444">
      <w:pPr>
        <w:rPr>
          <w:rFonts w:ascii="Arial" w:hAnsi="Arial" w:cs="Arial"/>
        </w:rPr>
      </w:pPr>
      <w:r w:rsidRPr="00B20444">
        <w:rPr>
          <w:rFonts w:ascii="Arial" w:hAnsi="Arial" w:cs="Arial"/>
        </w:rPr>
        <w:t>M.V.Z FRANCISCO DAVID MORALES VAZQUEZ.</w:t>
      </w:r>
    </w:p>
    <w:p w14:paraId="57DA1184" w14:textId="3EEC2621" w:rsidR="00B20444" w:rsidRPr="00B20444" w:rsidRDefault="00B20444">
      <w:pPr>
        <w:rPr>
          <w:rFonts w:ascii="Arial" w:hAnsi="Arial" w:cs="Arial"/>
        </w:rPr>
      </w:pPr>
      <w:r w:rsidRPr="00B20444">
        <w:rPr>
          <w:rFonts w:ascii="Arial" w:hAnsi="Arial" w:cs="Arial"/>
        </w:rPr>
        <w:t>MATERIA: FARMACOLOGIA.</w:t>
      </w:r>
    </w:p>
    <w:p w14:paraId="047F8F7E" w14:textId="0931DFAF" w:rsidR="00B20444" w:rsidRPr="00B20444" w:rsidRDefault="00B20444">
      <w:pPr>
        <w:rPr>
          <w:rFonts w:ascii="Arial" w:hAnsi="Arial" w:cs="Arial"/>
        </w:rPr>
      </w:pPr>
      <w:r w:rsidRPr="00B20444">
        <w:rPr>
          <w:rFonts w:ascii="Arial" w:hAnsi="Arial" w:cs="Arial"/>
        </w:rPr>
        <w:t>TAREA: ENSAYO.</w:t>
      </w:r>
    </w:p>
    <w:p w14:paraId="595EE7E2" w14:textId="22357FA3" w:rsidR="00B20444" w:rsidRPr="00B20444" w:rsidRDefault="00B20444">
      <w:pPr>
        <w:rPr>
          <w:rFonts w:ascii="Arial" w:hAnsi="Arial" w:cs="Arial"/>
        </w:rPr>
      </w:pPr>
      <w:r w:rsidRPr="00B20444">
        <w:rPr>
          <w:rFonts w:ascii="Arial" w:hAnsi="Arial" w:cs="Arial"/>
        </w:rPr>
        <w:t>FECHA DE ENTREGA: 17 DE OCTUBRE DE 2020</w:t>
      </w:r>
      <w:r>
        <w:rPr>
          <w:rFonts w:ascii="Arial" w:hAnsi="Arial" w:cs="Arial"/>
        </w:rPr>
        <w:t>.</w:t>
      </w:r>
    </w:p>
    <w:p w14:paraId="514B49AB" w14:textId="5055F931" w:rsidR="004419AD" w:rsidRDefault="004419AD"/>
    <w:p w14:paraId="0D459F00" w14:textId="42F18071" w:rsidR="004419AD" w:rsidRDefault="004419AD"/>
    <w:p w14:paraId="45D946CB" w14:textId="3B7DA81F" w:rsidR="004419AD" w:rsidRDefault="004419AD"/>
    <w:p w14:paraId="5EA786F3" w14:textId="5BF10260" w:rsidR="004419AD" w:rsidRDefault="004419AD"/>
    <w:p w14:paraId="47F4FE82" w14:textId="1CD48EB4" w:rsidR="004419AD" w:rsidRDefault="004419AD"/>
    <w:p w14:paraId="21736230" w14:textId="628A9A43" w:rsidR="004419AD" w:rsidRDefault="004419AD"/>
    <w:p w14:paraId="7A4CD979" w14:textId="713FEEB1" w:rsidR="004419AD" w:rsidRDefault="004419AD"/>
    <w:p w14:paraId="3CB4E055" w14:textId="020EE33E" w:rsidR="004419AD" w:rsidRDefault="004419AD"/>
    <w:p w14:paraId="10306425" w14:textId="2B7E8FC6" w:rsidR="004419AD" w:rsidRDefault="004419AD"/>
    <w:p w14:paraId="315E6F7B" w14:textId="0EE77F47" w:rsidR="004419AD" w:rsidRDefault="004419AD"/>
    <w:p w14:paraId="620A861B" w14:textId="48C7A64E" w:rsidR="004419AD" w:rsidRDefault="004419AD"/>
    <w:p w14:paraId="2E43D8C7" w14:textId="7BE006FB" w:rsidR="004419AD" w:rsidRDefault="004419AD"/>
    <w:p w14:paraId="5C78D054" w14:textId="21DD1E2E" w:rsidR="004419AD" w:rsidRDefault="004419AD"/>
    <w:p w14:paraId="3ADB8142" w14:textId="11FAA3CF" w:rsidR="004419AD" w:rsidRDefault="004419AD"/>
    <w:p w14:paraId="576B0614" w14:textId="3FD50ADA" w:rsidR="004419AD" w:rsidRDefault="004419AD"/>
    <w:p w14:paraId="6B0E2203" w14:textId="183BBE9C" w:rsidR="004419AD" w:rsidRDefault="004419AD"/>
    <w:p w14:paraId="470C2157" w14:textId="3767E910" w:rsidR="004419AD" w:rsidRDefault="004419AD"/>
    <w:p w14:paraId="2864D837" w14:textId="3FC781CF" w:rsidR="004419AD" w:rsidRDefault="004419AD"/>
    <w:p w14:paraId="63CBB525" w14:textId="18F12935" w:rsidR="004419AD" w:rsidRDefault="004419AD"/>
    <w:p w14:paraId="76C684C8" w14:textId="38E0E524" w:rsidR="004419AD" w:rsidRDefault="004419AD"/>
    <w:p w14:paraId="26C372EB" w14:textId="331C56DF" w:rsidR="004419AD" w:rsidRDefault="004419AD"/>
    <w:p w14:paraId="613D7703" w14:textId="0E0B8B4E" w:rsidR="004419AD" w:rsidRDefault="004419AD"/>
    <w:p w14:paraId="1FC0E638" w14:textId="796E5F1C" w:rsidR="004419AD" w:rsidRDefault="004419AD"/>
    <w:p w14:paraId="1A43BFA4" w14:textId="77777777" w:rsidR="00B20444" w:rsidRDefault="00B20444"/>
    <w:p w14:paraId="5D0E2CE8" w14:textId="6C7573B3" w:rsidR="004419AD" w:rsidRPr="00B20444" w:rsidRDefault="004419AD">
      <w:pPr>
        <w:rPr>
          <w:rFonts w:ascii="Arial" w:hAnsi="Arial" w:cs="Arial"/>
        </w:rPr>
      </w:pPr>
      <w:r w:rsidRPr="00B20444">
        <w:rPr>
          <w:rFonts w:ascii="Arial" w:hAnsi="Arial" w:cs="Arial"/>
        </w:rPr>
        <w:lastRenderedPageBreak/>
        <w:t>Introducción.</w:t>
      </w:r>
    </w:p>
    <w:p w14:paraId="52AF3DDF" w14:textId="0C4B4210" w:rsidR="004419AD" w:rsidRPr="00B20444" w:rsidRDefault="00634BCB">
      <w:pPr>
        <w:rPr>
          <w:rFonts w:ascii="Arial" w:hAnsi="Arial" w:cs="Arial"/>
        </w:rPr>
      </w:pPr>
      <w:r w:rsidRPr="00B20444">
        <w:rPr>
          <w:rFonts w:ascii="Arial" w:hAnsi="Arial" w:cs="Arial"/>
        </w:rPr>
        <w:t xml:space="preserve">En este ensayo hablare sobre las derivadas de las tiazidas ya que son muy importantes, las tiazidas son una familia de compuestos químicos heterocíclicos que se caracterizan por poseer </w:t>
      </w:r>
      <w:r w:rsidR="00B20444" w:rsidRPr="00B20444">
        <w:rPr>
          <w:rFonts w:ascii="Arial" w:hAnsi="Arial" w:cs="Arial"/>
        </w:rPr>
        <w:t>átomos</w:t>
      </w:r>
      <w:r w:rsidRPr="00B20444">
        <w:rPr>
          <w:rFonts w:ascii="Arial" w:hAnsi="Arial" w:cs="Arial"/>
        </w:rPr>
        <w:t xml:space="preserve"> de </w:t>
      </w:r>
      <w:r w:rsidR="00B20444" w:rsidRPr="00B20444">
        <w:rPr>
          <w:rFonts w:ascii="Arial" w:hAnsi="Arial" w:cs="Arial"/>
        </w:rPr>
        <w:t>azufre</w:t>
      </w:r>
      <w:r w:rsidRPr="00B20444">
        <w:rPr>
          <w:rFonts w:ascii="Arial" w:hAnsi="Arial" w:cs="Arial"/>
        </w:rPr>
        <w:t xml:space="preserve"> y de nitrógeno. Con frecuencia se utiliza este termino para denominar a los diuréticos tiazídicos, que en realidad son compuestos derivados de la </w:t>
      </w:r>
      <w:proofErr w:type="spellStart"/>
      <w:r w:rsidRPr="00B20444">
        <w:rPr>
          <w:rFonts w:ascii="Arial" w:hAnsi="Arial" w:cs="Arial"/>
        </w:rPr>
        <w:t>ben</w:t>
      </w:r>
      <w:r w:rsidR="00B20444" w:rsidRPr="00B20444">
        <w:rPr>
          <w:rFonts w:ascii="Arial" w:hAnsi="Arial" w:cs="Arial"/>
        </w:rPr>
        <w:t>zotiadiazina</w:t>
      </w:r>
      <w:proofErr w:type="spellEnd"/>
      <w:r w:rsidR="00B20444" w:rsidRPr="00B20444">
        <w:rPr>
          <w:rFonts w:ascii="Arial" w:hAnsi="Arial" w:cs="Arial"/>
        </w:rPr>
        <w:t>, es decir se trata de compuestos con un átomo de azufre y dos de nitrógeno unidos a un núcleo benceno.</w:t>
      </w:r>
      <w:r w:rsidRPr="00B20444">
        <w:rPr>
          <w:rFonts w:ascii="Arial" w:hAnsi="Arial" w:cs="Arial"/>
        </w:rPr>
        <w:t xml:space="preserve"> </w:t>
      </w:r>
    </w:p>
    <w:p w14:paraId="45760D6B" w14:textId="77777777" w:rsidR="004419AD" w:rsidRPr="00B20444" w:rsidRDefault="004419AD" w:rsidP="004419AD">
      <w:pPr>
        <w:rPr>
          <w:rFonts w:ascii="Arial" w:hAnsi="Arial" w:cs="Arial"/>
        </w:rPr>
      </w:pPr>
      <w:r w:rsidRPr="00B20444">
        <w:rPr>
          <w:rFonts w:ascii="Arial" w:hAnsi="Arial" w:cs="Arial"/>
        </w:rPr>
        <w:t>Desarrollo.</w:t>
      </w:r>
    </w:p>
    <w:p w14:paraId="7F0B2A8E" w14:textId="1AF65DFC" w:rsidR="004419AD" w:rsidRPr="00B20444" w:rsidRDefault="004419AD" w:rsidP="004419AD">
      <w:pPr>
        <w:rPr>
          <w:rFonts w:ascii="Arial" w:hAnsi="Arial" w:cs="Arial"/>
        </w:rPr>
      </w:pPr>
      <w:r w:rsidRPr="00B20444">
        <w:rPr>
          <w:rFonts w:ascii="Arial" w:hAnsi="Arial" w:cs="Arial"/>
          <w:color w:val="000000"/>
        </w:rPr>
        <w:t xml:space="preserve">Los diuréticos tiazídicos; actúan inhibiendo el </w:t>
      </w:r>
      <w:proofErr w:type="spellStart"/>
      <w:r w:rsidRPr="00B20444">
        <w:rPr>
          <w:rFonts w:ascii="Arial" w:hAnsi="Arial" w:cs="Arial"/>
          <w:color w:val="000000"/>
        </w:rPr>
        <w:t>cotransporte</w:t>
      </w:r>
      <w:proofErr w:type="spellEnd"/>
      <w:r w:rsidRPr="00B20444">
        <w:rPr>
          <w:rFonts w:ascii="Arial" w:hAnsi="Arial" w:cs="Arial"/>
          <w:color w:val="000000"/>
        </w:rPr>
        <w:t xml:space="preserve"> de cloro y sodio en la membrana del lumen del segmento de dilución (parte inicial del </w:t>
      </w:r>
      <w:proofErr w:type="spellStart"/>
      <w:r w:rsidRPr="00B20444">
        <w:rPr>
          <w:rFonts w:ascii="Arial" w:hAnsi="Arial" w:cs="Arial"/>
          <w:color w:val="000000"/>
        </w:rPr>
        <w:t>tubuli</w:t>
      </w:r>
      <w:proofErr w:type="spellEnd"/>
      <w:r w:rsidRPr="00B20444">
        <w:rPr>
          <w:rFonts w:ascii="Arial" w:hAnsi="Arial" w:cs="Arial"/>
          <w:color w:val="000000"/>
        </w:rPr>
        <w:t xml:space="preserve"> contorneado distal) donde el 5 - 8% del sodio filtrado es normalmente reabsorbido.</w:t>
      </w:r>
    </w:p>
    <w:p w14:paraId="6A6C788D" w14:textId="77777777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El volumen del fluido plasmático y extracelular están en ese modo disminuidos y el gasto cardíaco cae</w:t>
      </w:r>
      <w:r w:rsidRPr="00B20444"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B20444">
        <w:rPr>
          <w:rFonts w:ascii="Arial" w:hAnsi="Arial" w:cs="Arial"/>
          <w:color w:val="000000"/>
          <w:sz w:val="22"/>
          <w:szCs w:val="22"/>
        </w:rPr>
        <w:t>.</w:t>
      </w:r>
    </w:p>
    <w:p w14:paraId="5E59B9DF" w14:textId="78805C7E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Los </w:t>
      </w:r>
      <w:r w:rsidRPr="00B20444">
        <w:rPr>
          <w:rFonts w:ascii="Arial" w:hAnsi="Arial" w:cs="Arial"/>
          <w:color w:val="000000"/>
          <w:sz w:val="22"/>
          <w:szCs w:val="22"/>
        </w:rPr>
        <w:t>mecanismos humorales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y </w:t>
      </w:r>
      <w:r w:rsidRPr="00B20444">
        <w:rPr>
          <w:rFonts w:ascii="Arial" w:hAnsi="Arial" w:cs="Arial"/>
          <w:color w:val="000000"/>
          <w:sz w:val="22"/>
          <w:szCs w:val="22"/>
        </w:rPr>
        <w:t>contra regulatorio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444">
        <w:rPr>
          <w:rFonts w:ascii="Arial" w:hAnsi="Arial" w:cs="Arial"/>
          <w:color w:val="000000"/>
          <w:sz w:val="22"/>
          <w:szCs w:val="22"/>
        </w:rPr>
        <w:t>infrarrenal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rápidamente restablecen la situación constante para que el ingreso y excreción del sodio estén balanceados dentro del 3</w:t>
      </w:r>
      <w:r w:rsidRPr="00B20444">
        <w:rPr>
          <w:rFonts w:ascii="Arial" w:hAnsi="Arial" w:cs="Arial"/>
          <w:color w:val="000000"/>
          <w:sz w:val="22"/>
          <w:szCs w:val="22"/>
          <w:u w:val="single"/>
        </w:rPr>
        <w:t>º</w:t>
      </w:r>
      <w:r w:rsidRPr="00B20444">
        <w:rPr>
          <w:rFonts w:ascii="Arial" w:hAnsi="Arial" w:cs="Arial"/>
          <w:color w:val="000000"/>
          <w:sz w:val="22"/>
          <w:szCs w:val="22"/>
        </w:rPr>
        <w:t> </w:t>
      </w:r>
      <w:r w:rsidRPr="00B20444">
        <w:rPr>
          <w:rFonts w:ascii="Arial" w:hAnsi="Arial" w:cs="Arial"/>
          <w:color w:val="000000"/>
          <w:sz w:val="22"/>
          <w:szCs w:val="22"/>
        </w:rPr>
        <w:t>a los 9º días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de permanencia de un volumen de fluido corporal disminuido.</w:t>
      </w:r>
    </w:p>
    <w:p w14:paraId="333C9B7F" w14:textId="6F6946B5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Con el uso crónico; el volumen plasmático retorna parcialmente hacia lo </w:t>
      </w:r>
      <w:r w:rsidRPr="00B20444">
        <w:rPr>
          <w:rFonts w:ascii="Arial" w:hAnsi="Arial" w:cs="Arial"/>
          <w:color w:val="000000"/>
          <w:sz w:val="22"/>
          <w:szCs w:val="22"/>
        </w:rPr>
        <w:t>normal,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pero al mismo tiempo, disminuye la resistencia periférica.</w:t>
      </w:r>
    </w:p>
    <w:p w14:paraId="372617CD" w14:textId="34CA6E30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Bloquear la estimulación reactiva en el sistema renina - </w:t>
      </w:r>
      <w:proofErr w:type="spellStart"/>
      <w:r w:rsidRPr="00B20444">
        <w:rPr>
          <w:rFonts w:ascii="Arial" w:hAnsi="Arial" w:cs="Arial"/>
          <w:color w:val="000000"/>
          <w:sz w:val="22"/>
          <w:szCs w:val="22"/>
        </w:rPr>
        <w:t>angotensina</w:t>
      </w:r>
      <w:proofErr w:type="spellEnd"/>
      <w:r w:rsidRPr="00B20444">
        <w:rPr>
          <w:rFonts w:ascii="Arial" w:hAnsi="Arial" w:cs="Arial"/>
          <w:color w:val="000000"/>
          <w:sz w:val="22"/>
          <w:szCs w:val="22"/>
        </w:rPr>
        <w:t xml:space="preserve"> - aldosterona al añadir un inhibidor ECA; potenciará la acción antihipertensiva, con una pequeña pérdida adicional del volumen de fluidos.</w:t>
      </w:r>
    </w:p>
    <w:p w14:paraId="051497E7" w14:textId="54F1F895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Los diuréticos pueden elevar moderadamente los niveles de norepinefrina plasmática.</w:t>
      </w:r>
    </w:p>
    <w:p w14:paraId="02143C5C" w14:textId="77777777" w:rsidR="004419AD" w:rsidRPr="00B20444" w:rsidRDefault="004419AD" w:rsidP="004419AD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20444">
        <w:rPr>
          <w:rFonts w:ascii="Arial" w:hAnsi="Arial" w:cs="Arial"/>
          <w:b/>
          <w:bCs/>
          <w:color w:val="000000"/>
          <w:sz w:val="22"/>
          <w:szCs w:val="22"/>
        </w:rPr>
        <w:t>CONGENERES DE LAS TIAZIDAS</w:t>
      </w:r>
    </w:p>
    <w:p w14:paraId="5D5C34D1" w14:textId="77777777" w:rsidR="004419AD" w:rsidRPr="00B20444" w:rsidRDefault="004419AD" w:rsidP="004419AD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20444">
        <w:rPr>
          <w:rFonts w:ascii="Arial" w:hAnsi="Arial" w:cs="Arial"/>
          <w:b/>
          <w:bCs/>
          <w:color w:val="000000"/>
          <w:sz w:val="22"/>
          <w:szCs w:val="22"/>
        </w:rPr>
        <w:t>INDAPAMIDA</w:t>
      </w:r>
    </w:p>
    <w:p w14:paraId="356313E4" w14:textId="72D76277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Es una Sulfonamida </w:t>
      </w:r>
      <w:proofErr w:type="spellStart"/>
      <w:r w:rsidRPr="00B20444">
        <w:rPr>
          <w:rFonts w:ascii="Arial" w:hAnsi="Arial" w:cs="Arial"/>
          <w:color w:val="000000"/>
          <w:sz w:val="22"/>
          <w:szCs w:val="22"/>
        </w:rPr>
        <w:t>Clorobenzénica</w:t>
      </w:r>
      <w:proofErr w:type="spellEnd"/>
      <w:r w:rsidRPr="00B20444">
        <w:rPr>
          <w:rFonts w:ascii="Arial" w:hAnsi="Arial" w:cs="Arial"/>
          <w:color w:val="000000"/>
          <w:sz w:val="22"/>
          <w:szCs w:val="22"/>
        </w:rPr>
        <w:t xml:space="preserve"> que proporciona una acción antihipertensiva adicional, más allá de su efecto diurético, al disminuir la resistencia y reactividad vascular por 24 horas.</w:t>
      </w:r>
    </w:p>
    <w:p w14:paraId="34FED3C4" w14:textId="6B10540D" w:rsidR="004419AD" w:rsidRPr="00B20444" w:rsidRDefault="00634BCB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34EF5E" wp14:editId="26A8F9ED">
            <wp:simplePos x="0" y="0"/>
            <wp:positionH relativeFrom="column">
              <wp:posOffset>1367790</wp:posOffset>
            </wp:positionH>
            <wp:positionV relativeFrom="paragraph">
              <wp:posOffset>652145</wp:posOffset>
            </wp:positionV>
            <wp:extent cx="2505075" cy="13906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9AD" w:rsidRPr="00B20444">
        <w:rPr>
          <w:rFonts w:ascii="Arial" w:hAnsi="Arial" w:cs="Arial"/>
          <w:color w:val="000000"/>
          <w:sz w:val="22"/>
          <w:szCs w:val="22"/>
        </w:rPr>
        <w:t xml:space="preserve">Difiere de las tiazidas; al no alterar los lípidos sanguíneos; tiene propiedades antioxidantes y ha mostrado aumentar la génesis de prostaciclina in vitro e inhibición de la peroxidación de </w:t>
      </w:r>
      <w:proofErr w:type="spellStart"/>
      <w:r w:rsidR="004419AD" w:rsidRPr="00B20444">
        <w:rPr>
          <w:rFonts w:ascii="Arial" w:hAnsi="Arial" w:cs="Arial"/>
          <w:color w:val="000000"/>
          <w:sz w:val="22"/>
          <w:szCs w:val="22"/>
        </w:rPr>
        <w:t>lipoproteinas</w:t>
      </w:r>
      <w:proofErr w:type="spellEnd"/>
      <w:r w:rsidR="004419AD" w:rsidRPr="00B20444">
        <w:rPr>
          <w:rFonts w:ascii="Arial" w:hAnsi="Arial" w:cs="Arial"/>
          <w:color w:val="000000"/>
          <w:sz w:val="22"/>
          <w:szCs w:val="22"/>
        </w:rPr>
        <w:t xml:space="preserve"> de baja densidad; efecto que puede contribuir en una mejor protección cardiovascular.</w:t>
      </w:r>
    </w:p>
    <w:p w14:paraId="26204C82" w14:textId="63FC8F3F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60954E3" w14:textId="189DFE8B" w:rsidR="004419AD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03AD8D7" w14:textId="77777777" w:rsidR="00B20444" w:rsidRPr="00B20444" w:rsidRDefault="00B20444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2F0EDA0D" w14:textId="7FFBF703" w:rsidR="004419AD" w:rsidRPr="00B20444" w:rsidRDefault="004419AD" w:rsidP="004419AD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2044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METOLAZONA</w:t>
      </w:r>
    </w:p>
    <w:p w14:paraId="67CFE203" w14:textId="2C263A26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Derivado tiazídico; potente </w:t>
      </w:r>
      <w:proofErr w:type="spellStart"/>
      <w:r w:rsidRPr="00B20444">
        <w:rPr>
          <w:rFonts w:ascii="Arial" w:hAnsi="Arial" w:cs="Arial"/>
          <w:color w:val="000000"/>
          <w:sz w:val="22"/>
          <w:szCs w:val="22"/>
        </w:rPr>
        <w:t>quinazolina</w:t>
      </w:r>
      <w:proofErr w:type="spellEnd"/>
      <w:r w:rsidRPr="00B20444">
        <w:rPr>
          <w:rFonts w:ascii="Arial" w:hAnsi="Arial" w:cs="Arial"/>
          <w:color w:val="000000"/>
          <w:sz w:val="22"/>
          <w:szCs w:val="22"/>
        </w:rPr>
        <w:t xml:space="preserve"> de acción prolongada que conserva su efecto en presencia de insuficiencia renal; es un agente particularmente útil en pacientes con azotemia e hipertensión resistente</w:t>
      </w:r>
      <w:r w:rsidRPr="00B20444">
        <w:rPr>
          <w:rFonts w:ascii="Arial" w:hAnsi="Arial" w:cs="Arial"/>
          <w:color w:val="000000"/>
          <w:sz w:val="22"/>
          <w:szCs w:val="22"/>
          <w:vertAlign w:val="superscript"/>
        </w:rPr>
        <w:t>.</w:t>
      </w:r>
    </w:p>
    <w:p w14:paraId="18465505" w14:textId="752FA055" w:rsidR="004419AD" w:rsidRPr="00B20444" w:rsidRDefault="00634BCB" w:rsidP="004419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MX"/>
        </w:rPr>
      </w:pPr>
      <w:r w:rsidRPr="00B2044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467306A" wp14:editId="1DA44BB1">
            <wp:simplePos x="0" y="0"/>
            <wp:positionH relativeFrom="column">
              <wp:posOffset>891540</wp:posOffset>
            </wp:positionH>
            <wp:positionV relativeFrom="paragraph">
              <wp:posOffset>108585</wp:posOffset>
            </wp:positionV>
            <wp:extent cx="3343275" cy="15335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0868F" w14:textId="20FDE6AD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331EE9E" w14:textId="319613E0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DF06392" w14:textId="42F88C7C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543239F4" w14:textId="77777777" w:rsidR="00634BCB" w:rsidRPr="00B20444" w:rsidRDefault="00634BCB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2D1E7D42" w14:textId="77777777" w:rsidR="004419AD" w:rsidRPr="00B20444" w:rsidRDefault="004419AD" w:rsidP="004419AD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20444">
        <w:rPr>
          <w:rFonts w:ascii="Arial" w:hAnsi="Arial" w:cs="Arial"/>
          <w:b/>
          <w:bCs/>
          <w:color w:val="000000"/>
          <w:sz w:val="22"/>
          <w:szCs w:val="22"/>
        </w:rPr>
        <w:t>EFICACIA DE LAS TIAZIDAS</w:t>
      </w:r>
    </w:p>
    <w:p w14:paraId="05B82399" w14:textId="77777777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Cuando se usan solas; los diuréticos tiazídicos proporcionan eficacia similar a otros antihipertensivos. Los pacientes negros y ancianos responden mejor a los diuréticos que aquellos que no lo son, lo mismo que los jóvenes</w:t>
      </w:r>
      <w:r w:rsidRPr="00B20444">
        <w:rPr>
          <w:rFonts w:ascii="Arial" w:hAnsi="Arial" w:cs="Arial"/>
          <w:color w:val="000000"/>
          <w:sz w:val="22"/>
          <w:szCs w:val="22"/>
          <w:vertAlign w:val="superscript"/>
        </w:rPr>
        <w:t>12</w:t>
      </w:r>
      <w:r w:rsidRPr="00B20444">
        <w:rPr>
          <w:rFonts w:ascii="Arial" w:hAnsi="Arial" w:cs="Arial"/>
          <w:color w:val="000000"/>
          <w:sz w:val="22"/>
          <w:szCs w:val="22"/>
        </w:rPr>
        <w:t>.</w:t>
      </w:r>
    </w:p>
    <w:p w14:paraId="043A572A" w14:textId="33A77F71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Potencian el efecto de otras drogas, </w:t>
      </w:r>
      <w:r w:rsidRPr="00B20444">
        <w:rPr>
          <w:rFonts w:ascii="Arial" w:hAnsi="Arial" w:cs="Arial"/>
          <w:color w:val="000000"/>
          <w:sz w:val="22"/>
          <w:szCs w:val="22"/>
        </w:rPr>
        <w:t>incluido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los bloqueadores del calcio, dependiendo de la contracción del volumen de fluidos</w:t>
      </w:r>
      <w:r w:rsidRPr="00B20444">
        <w:rPr>
          <w:rFonts w:ascii="Arial" w:hAnsi="Arial" w:cs="Arial"/>
          <w:color w:val="000000"/>
          <w:sz w:val="22"/>
          <w:szCs w:val="22"/>
          <w:vertAlign w:val="superscript"/>
        </w:rPr>
        <w:t>13</w:t>
      </w:r>
      <w:r w:rsidRPr="00B20444">
        <w:rPr>
          <w:rFonts w:ascii="Arial" w:hAnsi="Arial" w:cs="Arial"/>
          <w:color w:val="000000"/>
          <w:sz w:val="22"/>
          <w:szCs w:val="22"/>
        </w:rPr>
        <w:t> y la prevención de la acumulación de fluidos que frecuentemente acompaña al uso de otros fármacos antihipertensivos.</w:t>
      </w:r>
    </w:p>
    <w:p w14:paraId="58BD7185" w14:textId="77777777" w:rsidR="004419AD" w:rsidRPr="00B20444" w:rsidRDefault="004419AD">
      <w:pPr>
        <w:rPr>
          <w:rFonts w:ascii="Arial" w:hAnsi="Arial" w:cs="Arial"/>
        </w:rPr>
      </w:pPr>
    </w:p>
    <w:p w14:paraId="2CE30AD6" w14:textId="3C37089B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La dosis diaria recomendada de diuréticos tiazídicos ha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variado de tan altas como 200 mg. de HCTZ o de dosis equivalentes de otras tiazidas en los años 1960 a tan pequeñas como 6.25 - 12.5 mg. actualmente.</w:t>
      </w:r>
    </w:p>
    <w:p w14:paraId="1D23730F" w14:textId="311A0B3F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 xml:space="preserve">Hipertensos con buena función renal; tendrán más efecto antihipertensivo con dosis pequeñas; con menos </w:t>
      </w:r>
      <w:r w:rsidRPr="00B20444">
        <w:rPr>
          <w:rFonts w:ascii="Arial" w:hAnsi="Arial" w:cs="Arial"/>
          <w:color w:val="000000"/>
          <w:sz w:val="22"/>
          <w:szCs w:val="22"/>
        </w:rPr>
        <w:t>hipocalemia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y otros efectos colaterales.</w:t>
      </w:r>
    </w:p>
    <w:p w14:paraId="7401CC94" w14:textId="77777777" w:rsidR="004419AD" w:rsidRPr="00B20444" w:rsidRDefault="004419AD" w:rsidP="004419AD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20444">
        <w:rPr>
          <w:rFonts w:ascii="Arial" w:hAnsi="Arial" w:cs="Arial"/>
          <w:b/>
          <w:bCs/>
          <w:color w:val="000000"/>
          <w:sz w:val="22"/>
          <w:szCs w:val="22"/>
        </w:rPr>
        <w:t>RESISTENCIA</w:t>
      </w:r>
    </w:p>
    <w:p w14:paraId="04124A92" w14:textId="77777777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Algunos pacientes ofrecen resistencia a la acción natriurética y antihipertensiva de los diuréticos por diversas razones:</w:t>
      </w:r>
    </w:p>
    <w:p w14:paraId="4CC37FCE" w14:textId="39643C36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• Excesiva ingesta de sodio en la dieta</w:t>
      </w:r>
      <w:r w:rsidRPr="00B20444">
        <w:rPr>
          <w:rFonts w:ascii="Arial" w:hAnsi="Arial" w:cs="Arial"/>
          <w:color w:val="000000"/>
          <w:sz w:val="22"/>
          <w:szCs w:val="22"/>
        </w:rPr>
        <w:br/>
        <w:t>• Insuficiencia renal (creatinina sérica arriba de 2.5 mg/dl o depuración debajo de 30 ml/min.) donde las tiazidas no funcionan.</w:t>
      </w:r>
      <w:r w:rsidRPr="00B20444">
        <w:rPr>
          <w:rFonts w:ascii="Arial" w:hAnsi="Arial" w:cs="Arial"/>
          <w:color w:val="000000"/>
          <w:sz w:val="22"/>
          <w:szCs w:val="22"/>
        </w:rPr>
        <w:br/>
        <w:t>• Alimentos que interfieren con la absorción y biodisponibilidad de diferentes diuréticos en grado variable.</w:t>
      </w:r>
      <w:r w:rsidRPr="00B20444">
        <w:rPr>
          <w:rFonts w:ascii="Arial" w:hAnsi="Arial" w:cs="Arial"/>
          <w:color w:val="000000"/>
          <w:sz w:val="22"/>
          <w:szCs w:val="22"/>
        </w:rPr>
        <w:br/>
        <w:t xml:space="preserve">• Fármacos </w:t>
      </w:r>
      <w:r w:rsidRPr="00B20444">
        <w:rPr>
          <w:rFonts w:ascii="Arial" w:hAnsi="Arial" w:cs="Arial"/>
          <w:color w:val="000000"/>
          <w:sz w:val="22"/>
          <w:szCs w:val="22"/>
        </w:rPr>
        <w:t>antinflamatorios</w:t>
      </w:r>
      <w:r w:rsidRPr="00B20444">
        <w:rPr>
          <w:rFonts w:ascii="Arial" w:hAnsi="Arial" w:cs="Arial"/>
          <w:color w:val="000000"/>
          <w:sz w:val="22"/>
          <w:szCs w:val="22"/>
        </w:rPr>
        <w:t xml:space="preserve"> no esteroideos que interfieren parcialmente con los efectos de muchos diuréticos, particularmente por los cambios inducidos en la hemodinámica renal a través de inhibir la síntesis de prostaglandinas.</w:t>
      </w:r>
    </w:p>
    <w:p w14:paraId="5566A5A1" w14:textId="77777777" w:rsidR="00634BCB" w:rsidRPr="00B20444" w:rsidRDefault="00634BCB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5FB40E0" w14:textId="77777777" w:rsidR="004419AD" w:rsidRPr="00B20444" w:rsidRDefault="004419AD" w:rsidP="004419AD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 </w:t>
      </w:r>
      <w:r w:rsidRPr="00B20444">
        <w:rPr>
          <w:rFonts w:ascii="Arial" w:hAnsi="Arial" w:cs="Arial"/>
          <w:b/>
          <w:bCs/>
          <w:color w:val="000000"/>
          <w:sz w:val="22"/>
          <w:szCs w:val="22"/>
        </w:rPr>
        <w:t> DIURÉTICOS DE ASA</w:t>
      </w:r>
    </w:p>
    <w:p w14:paraId="22F4AE97" w14:textId="77777777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Un número de diuréticos de asa están actualmente bajo investigación, incluido AZOSEMIDA, ETOZOLINA, MUZOLIMINA, PIRETAMIDA, y TORASENAMIDA.</w:t>
      </w:r>
    </w:p>
    <w:p w14:paraId="1FDA88D6" w14:textId="4B0D37A4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20444">
        <w:rPr>
          <w:rFonts w:ascii="Arial" w:hAnsi="Arial" w:cs="Arial"/>
          <w:color w:val="000000"/>
          <w:sz w:val="22"/>
          <w:szCs w:val="22"/>
        </w:rPr>
        <w:t>MUZOLIMINA es de acción más larga y PIRETAMIDA puede introducir menor pérdida de potasio. Pequeñas dosis de TORASEMIDA han demostrado ser equipotentes con Hidroclorotiazida e introducir menos cambios bioquímicos.</w:t>
      </w:r>
    </w:p>
    <w:p w14:paraId="551C7767" w14:textId="77777777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4DCB4F7A" w14:textId="77777777" w:rsidR="004419AD" w:rsidRPr="00B20444" w:rsidRDefault="004419AD" w:rsidP="004419A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B20444">
        <w:rPr>
          <w:rFonts w:ascii="Arial" w:hAnsi="Arial" w:cs="Arial"/>
          <w:color w:val="000000"/>
        </w:rPr>
        <w:t> </w:t>
      </w:r>
      <w:r w:rsidRPr="00B20444">
        <w:rPr>
          <w:rFonts w:ascii="Arial" w:eastAsia="Times New Roman" w:hAnsi="Arial" w:cs="Arial"/>
          <w:b/>
          <w:bCs/>
          <w:color w:val="222222"/>
          <w:lang w:eastAsia="es-MX"/>
        </w:rPr>
        <w:t>Algunos ejemplos de diuréticos de asa incluyen:</w:t>
      </w:r>
    </w:p>
    <w:p w14:paraId="0BB4E845" w14:textId="77777777" w:rsidR="004419AD" w:rsidRPr="004419AD" w:rsidRDefault="004419AD" w:rsidP="004419AD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  <w:r w:rsidRPr="004419AD">
        <w:rPr>
          <w:rFonts w:ascii="Arial" w:eastAsia="Times New Roman" w:hAnsi="Arial" w:cs="Arial"/>
          <w:color w:val="222222"/>
          <w:lang w:eastAsia="es-MX"/>
        </w:rPr>
        <w:t>Bumetanida (</w:t>
      </w:r>
      <w:proofErr w:type="spellStart"/>
      <w:r w:rsidRPr="004419AD">
        <w:rPr>
          <w:rFonts w:ascii="Arial" w:eastAsia="Times New Roman" w:hAnsi="Arial" w:cs="Arial"/>
          <w:color w:val="222222"/>
          <w:lang w:eastAsia="es-MX"/>
        </w:rPr>
        <w:t>Bumex</w:t>
      </w:r>
      <w:proofErr w:type="spellEnd"/>
      <w:r w:rsidRPr="004419AD">
        <w:rPr>
          <w:rFonts w:ascii="Arial" w:eastAsia="Times New Roman" w:hAnsi="Arial" w:cs="Arial"/>
          <w:color w:val="222222"/>
          <w:lang w:eastAsia="es-MX"/>
        </w:rPr>
        <w:t>)</w:t>
      </w:r>
    </w:p>
    <w:p w14:paraId="363F5697" w14:textId="77777777" w:rsidR="004419AD" w:rsidRPr="004419AD" w:rsidRDefault="004419AD" w:rsidP="004419AD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  <w:r w:rsidRPr="004419AD">
        <w:rPr>
          <w:rFonts w:ascii="Arial" w:eastAsia="Times New Roman" w:hAnsi="Arial" w:cs="Arial"/>
          <w:color w:val="222222"/>
          <w:lang w:eastAsia="es-MX"/>
        </w:rPr>
        <w:t>Ácido etacrínico (</w:t>
      </w:r>
      <w:proofErr w:type="spellStart"/>
      <w:r w:rsidRPr="004419AD">
        <w:rPr>
          <w:rFonts w:ascii="Arial" w:eastAsia="Times New Roman" w:hAnsi="Arial" w:cs="Arial"/>
          <w:color w:val="222222"/>
          <w:lang w:eastAsia="es-MX"/>
        </w:rPr>
        <w:t>Edecrin</w:t>
      </w:r>
      <w:proofErr w:type="spellEnd"/>
      <w:r w:rsidRPr="004419AD">
        <w:rPr>
          <w:rFonts w:ascii="Arial" w:eastAsia="Times New Roman" w:hAnsi="Arial" w:cs="Arial"/>
          <w:color w:val="222222"/>
          <w:lang w:eastAsia="es-MX"/>
        </w:rPr>
        <w:t>)</w:t>
      </w:r>
    </w:p>
    <w:p w14:paraId="36E9A92F" w14:textId="77777777" w:rsidR="004419AD" w:rsidRPr="004419AD" w:rsidRDefault="004419AD" w:rsidP="004419AD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  <w:r w:rsidRPr="004419AD">
        <w:rPr>
          <w:rFonts w:ascii="Arial" w:eastAsia="Times New Roman" w:hAnsi="Arial" w:cs="Arial"/>
          <w:color w:val="222222"/>
          <w:lang w:eastAsia="es-MX"/>
        </w:rPr>
        <w:t>Furosemida (</w:t>
      </w:r>
      <w:proofErr w:type="spellStart"/>
      <w:r w:rsidRPr="004419AD">
        <w:rPr>
          <w:rFonts w:ascii="Arial" w:eastAsia="Times New Roman" w:hAnsi="Arial" w:cs="Arial"/>
          <w:color w:val="222222"/>
          <w:lang w:eastAsia="es-MX"/>
        </w:rPr>
        <w:t>Lasix</w:t>
      </w:r>
      <w:proofErr w:type="spellEnd"/>
      <w:r w:rsidRPr="004419AD">
        <w:rPr>
          <w:rFonts w:ascii="Arial" w:eastAsia="Times New Roman" w:hAnsi="Arial" w:cs="Arial"/>
          <w:color w:val="222222"/>
          <w:lang w:eastAsia="es-MX"/>
        </w:rPr>
        <w:t>)</w:t>
      </w:r>
    </w:p>
    <w:p w14:paraId="3D0C511B" w14:textId="7C91C60C" w:rsidR="004419AD" w:rsidRPr="00B20444" w:rsidRDefault="004419AD" w:rsidP="004419AD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  <w:proofErr w:type="spellStart"/>
      <w:r w:rsidRPr="004419AD">
        <w:rPr>
          <w:rFonts w:ascii="Arial" w:eastAsia="Times New Roman" w:hAnsi="Arial" w:cs="Arial"/>
          <w:color w:val="222222"/>
          <w:lang w:eastAsia="es-MX"/>
        </w:rPr>
        <w:t>Torsemida</w:t>
      </w:r>
      <w:proofErr w:type="spellEnd"/>
      <w:r w:rsidRPr="004419AD">
        <w:rPr>
          <w:rFonts w:ascii="Arial" w:eastAsia="Times New Roman" w:hAnsi="Arial" w:cs="Arial"/>
          <w:color w:val="222222"/>
          <w:lang w:eastAsia="es-MX"/>
        </w:rPr>
        <w:t xml:space="preserve"> (</w:t>
      </w:r>
      <w:proofErr w:type="spellStart"/>
      <w:r w:rsidRPr="004419AD">
        <w:rPr>
          <w:rFonts w:ascii="Arial" w:eastAsia="Times New Roman" w:hAnsi="Arial" w:cs="Arial"/>
          <w:color w:val="222222"/>
          <w:lang w:eastAsia="es-MX"/>
        </w:rPr>
        <w:t>Demadex</w:t>
      </w:r>
      <w:proofErr w:type="spellEnd"/>
      <w:r w:rsidRPr="004419AD">
        <w:rPr>
          <w:rFonts w:ascii="Arial" w:eastAsia="Times New Roman" w:hAnsi="Arial" w:cs="Arial"/>
          <w:color w:val="222222"/>
          <w:lang w:eastAsia="es-MX"/>
        </w:rPr>
        <w:t>)</w:t>
      </w:r>
    </w:p>
    <w:p w14:paraId="7F67B098" w14:textId="77777777" w:rsidR="004419AD" w:rsidRPr="00B20444" w:rsidRDefault="004419AD" w:rsidP="004419A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</w:p>
    <w:p w14:paraId="4F372AA6" w14:textId="7F1BB97E" w:rsidR="004419AD" w:rsidRPr="00B20444" w:rsidRDefault="004419AD" w:rsidP="004419A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  <w:r w:rsidRPr="00B20444">
        <w:rPr>
          <w:rFonts w:ascii="Arial" w:eastAsia="Times New Roman" w:hAnsi="Arial" w:cs="Arial"/>
          <w:color w:val="222222"/>
          <w:lang w:eastAsia="es-MX"/>
        </w:rPr>
        <w:t>Conclusión.</w:t>
      </w:r>
    </w:p>
    <w:p w14:paraId="65A81746" w14:textId="7F624A49" w:rsidR="004419AD" w:rsidRPr="004419AD" w:rsidRDefault="00B20444" w:rsidP="004419A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>Es muy importante saber sobre las derivadas de las tiazidas ya que nosotros como futuros médicos veterinarios debemos estar al pendiente sobre los fármacos que vamos a administrarle a nuestros pacientes para su pronta recuperación.</w:t>
      </w:r>
    </w:p>
    <w:p w14:paraId="1DC03324" w14:textId="1C905B44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30AE798" w14:textId="7176A4CC" w:rsidR="004419AD" w:rsidRPr="00B20444" w:rsidRDefault="004419AD" w:rsidP="004419A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4D332ED5" w14:textId="77777777" w:rsidR="004419AD" w:rsidRPr="00B20444" w:rsidRDefault="004419AD">
      <w:pPr>
        <w:rPr>
          <w:rFonts w:ascii="Arial" w:hAnsi="Arial" w:cs="Arial"/>
        </w:rPr>
      </w:pPr>
    </w:p>
    <w:p w14:paraId="7431F956" w14:textId="77777777" w:rsidR="004419AD" w:rsidRPr="00B20444" w:rsidRDefault="004419AD">
      <w:pPr>
        <w:rPr>
          <w:rFonts w:ascii="Arial" w:hAnsi="Arial" w:cs="Arial"/>
        </w:rPr>
      </w:pPr>
    </w:p>
    <w:p w14:paraId="68FDF6F5" w14:textId="77777777" w:rsidR="004419AD" w:rsidRPr="00B20444" w:rsidRDefault="004419AD">
      <w:pPr>
        <w:rPr>
          <w:rFonts w:ascii="Arial" w:hAnsi="Arial" w:cs="Arial"/>
        </w:rPr>
      </w:pPr>
    </w:p>
    <w:sectPr w:rsidR="004419AD" w:rsidRPr="00B204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951"/>
    <w:multiLevelType w:val="multilevel"/>
    <w:tmpl w:val="80D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236FE"/>
    <w:multiLevelType w:val="multilevel"/>
    <w:tmpl w:val="CEDE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AD"/>
    <w:rsid w:val="000867FF"/>
    <w:rsid w:val="001A6986"/>
    <w:rsid w:val="004419AD"/>
    <w:rsid w:val="00634BCB"/>
    <w:rsid w:val="00B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F2D4"/>
  <w15:chartTrackingRefBased/>
  <w15:docId w15:val="{D973A90C-AC29-4221-A0AC-60E69EF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1</cp:revision>
  <dcterms:created xsi:type="dcterms:W3CDTF">2020-10-17T17:06:00Z</dcterms:created>
  <dcterms:modified xsi:type="dcterms:W3CDTF">2020-10-17T17:32:00Z</dcterms:modified>
</cp:coreProperties>
</file>