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DF" w:rsidRPr="005069CD" w:rsidRDefault="00FA1FDF" w:rsidP="00FA1FDF">
      <w:pPr>
        <w:spacing w:line="240" w:lineRule="auto"/>
        <w:rPr>
          <w:sz w:val="20"/>
        </w:rPr>
      </w:pPr>
      <w:r w:rsidRPr="005069CD">
        <w:rPr>
          <w:noProof/>
          <w:sz w:val="20"/>
          <w:lang w:eastAsia="es-MX"/>
        </w:rPr>
        <w:drawing>
          <wp:inline distT="0" distB="0" distL="0" distR="0" wp14:anchorId="2C85C3A4" wp14:editId="22AF46E4">
            <wp:extent cx="2164080" cy="18472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4080" cy="1847215"/>
                    </a:xfrm>
                    <a:prstGeom prst="rect">
                      <a:avLst/>
                    </a:prstGeom>
                    <a:noFill/>
                  </pic:spPr>
                </pic:pic>
              </a:graphicData>
            </a:graphic>
          </wp:inline>
        </w:drawing>
      </w:r>
      <w:r w:rsidRPr="005069CD">
        <w:rPr>
          <w:sz w:val="20"/>
        </w:rPr>
        <w:t xml:space="preserve">                                     </w:t>
      </w:r>
      <w:r w:rsidRPr="005069CD">
        <w:rPr>
          <w:noProof/>
          <w:sz w:val="20"/>
          <w:lang w:eastAsia="es-MX"/>
        </w:rPr>
        <w:drawing>
          <wp:inline distT="0" distB="0" distL="0" distR="0" wp14:anchorId="393F6A47" wp14:editId="50DCEA47">
            <wp:extent cx="2152015" cy="1847215"/>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015" cy="1847215"/>
                    </a:xfrm>
                    <a:prstGeom prst="rect">
                      <a:avLst/>
                    </a:prstGeom>
                    <a:noFill/>
                  </pic:spPr>
                </pic:pic>
              </a:graphicData>
            </a:graphic>
          </wp:inline>
        </w:drawing>
      </w:r>
    </w:p>
    <w:p w:rsidR="00FA1FDF" w:rsidRPr="005069CD" w:rsidRDefault="00FA1FDF" w:rsidP="00FA1FDF">
      <w:pPr>
        <w:spacing w:line="240" w:lineRule="auto"/>
        <w:rPr>
          <w:sz w:val="20"/>
        </w:rPr>
      </w:pPr>
    </w:p>
    <w:p w:rsidR="00FA1FDF" w:rsidRPr="005069CD" w:rsidRDefault="00FA1FDF" w:rsidP="00FA1FDF">
      <w:pPr>
        <w:spacing w:line="240" w:lineRule="auto"/>
        <w:jc w:val="center"/>
        <w:rPr>
          <w:rFonts w:ascii="Arial" w:hAnsi="Arial" w:cs="Arial"/>
          <w:b/>
          <w:sz w:val="24"/>
        </w:rPr>
      </w:pPr>
      <w:r w:rsidRPr="005069CD">
        <w:rPr>
          <w:rFonts w:ascii="Arial" w:hAnsi="Arial" w:cs="Arial"/>
          <w:b/>
          <w:sz w:val="24"/>
        </w:rPr>
        <w:t xml:space="preserve">UNIVERSIDAD DEL SUERESTE </w:t>
      </w:r>
    </w:p>
    <w:p w:rsidR="00FA1FDF" w:rsidRPr="005069CD" w:rsidRDefault="00FA1FDF" w:rsidP="00FA1FDF">
      <w:pPr>
        <w:spacing w:line="240" w:lineRule="auto"/>
        <w:rPr>
          <w:rFonts w:ascii="Arial" w:hAnsi="Arial" w:cs="Arial"/>
          <w:sz w:val="24"/>
        </w:rPr>
      </w:pPr>
    </w:p>
    <w:p w:rsidR="00FA1FDF" w:rsidRPr="005069CD" w:rsidRDefault="00FA1FDF" w:rsidP="00FA1FDF">
      <w:pPr>
        <w:spacing w:line="240" w:lineRule="auto"/>
        <w:jc w:val="center"/>
        <w:rPr>
          <w:rFonts w:ascii="Arial" w:hAnsi="Arial" w:cs="Arial"/>
          <w:b/>
          <w:bCs/>
          <w:sz w:val="24"/>
          <w:szCs w:val="28"/>
          <w:lang w:val="es-ES"/>
        </w:rPr>
      </w:pPr>
      <w:r>
        <w:rPr>
          <w:rFonts w:ascii="Arial" w:hAnsi="Arial" w:cs="Arial"/>
          <w:b/>
          <w:bCs/>
          <w:sz w:val="24"/>
          <w:lang w:val="es-ES"/>
        </w:rPr>
        <w:t xml:space="preserve">MSP. Marco Antonio Gordillo Benavente </w:t>
      </w:r>
    </w:p>
    <w:p w:rsidR="00FA1FDF" w:rsidRPr="005069CD" w:rsidRDefault="00FA1FDF" w:rsidP="00FA1FDF">
      <w:pPr>
        <w:spacing w:line="240" w:lineRule="auto"/>
        <w:jc w:val="center"/>
        <w:rPr>
          <w:rFonts w:ascii="Arial" w:hAnsi="Arial" w:cs="Arial"/>
          <w:sz w:val="24"/>
        </w:rPr>
      </w:pPr>
    </w:p>
    <w:p w:rsidR="00FA1FDF" w:rsidRPr="005069CD" w:rsidRDefault="00FA1FDF" w:rsidP="00FA1FDF">
      <w:pPr>
        <w:spacing w:line="240" w:lineRule="auto"/>
        <w:jc w:val="center"/>
        <w:rPr>
          <w:rFonts w:ascii="Arial" w:hAnsi="Arial" w:cs="Arial"/>
          <w:b/>
          <w:bCs/>
          <w:sz w:val="24"/>
        </w:rPr>
      </w:pPr>
      <w:r w:rsidRPr="005069CD">
        <w:rPr>
          <w:rFonts w:ascii="Arial" w:hAnsi="Arial" w:cs="Arial"/>
          <w:b/>
          <w:bCs/>
          <w:sz w:val="24"/>
        </w:rPr>
        <w:t>Alumno:</w:t>
      </w:r>
    </w:p>
    <w:p w:rsidR="00FA1FDF" w:rsidRPr="005069CD" w:rsidRDefault="00FA1FDF" w:rsidP="00FA1FDF">
      <w:pPr>
        <w:spacing w:line="240" w:lineRule="auto"/>
        <w:jc w:val="center"/>
        <w:rPr>
          <w:rFonts w:ascii="Arial" w:hAnsi="Arial" w:cs="Arial"/>
          <w:b/>
          <w:bCs/>
          <w:sz w:val="24"/>
        </w:rPr>
      </w:pPr>
      <w:r w:rsidRPr="005069CD">
        <w:rPr>
          <w:rFonts w:ascii="Arial" w:hAnsi="Arial" w:cs="Arial"/>
          <w:b/>
          <w:bCs/>
          <w:sz w:val="24"/>
        </w:rPr>
        <w:br/>
        <w:t xml:space="preserve">Jonathan Suriano Cruz </w:t>
      </w:r>
    </w:p>
    <w:p w:rsidR="00FA1FDF" w:rsidRPr="005069CD" w:rsidRDefault="00FA1FDF" w:rsidP="00FA1FDF">
      <w:pPr>
        <w:spacing w:line="240" w:lineRule="auto"/>
        <w:jc w:val="center"/>
        <w:rPr>
          <w:rFonts w:ascii="Arial" w:hAnsi="Arial" w:cs="Arial"/>
          <w:b/>
          <w:bCs/>
          <w:sz w:val="24"/>
        </w:rPr>
      </w:pPr>
      <w:r w:rsidRPr="005069CD">
        <w:rPr>
          <w:rFonts w:ascii="Arial" w:hAnsi="Arial" w:cs="Arial"/>
          <w:b/>
          <w:bCs/>
          <w:sz w:val="24"/>
        </w:rPr>
        <w:br/>
        <w:t>Materia:</w:t>
      </w:r>
    </w:p>
    <w:p w:rsidR="00FA1FDF" w:rsidRPr="005069CD" w:rsidRDefault="00FA1FDF" w:rsidP="00FA1FDF">
      <w:pPr>
        <w:spacing w:line="240" w:lineRule="auto"/>
        <w:rPr>
          <w:rFonts w:ascii="Arial" w:hAnsi="Arial" w:cs="Arial"/>
          <w:b/>
          <w:bCs/>
          <w:sz w:val="24"/>
        </w:rPr>
      </w:pPr>
    </w:p>
    <w:p w:rsidR="00FA1FDF" w:rsidRPr="005069CD" w:rsidRDefault="00FA1FDF" w:rsidP="00FA1FDF">
      <w:pPr>
        <w:spacing w:line="240" w:lineRule="auto"/>
        <w:jc w:val="center"/>
        <w:rPr>
          <w:rFonts w:ascii="Arial" w:hAnsi="Arial" w:cs="Arial"/>
          <w:b/>
          <w:bCs/>
          <w:sz w:val="24"/>
        </w:rPr>
      </w:pPr>
      <w:r>
        <w:rPr>
          <w:rFonts w:ascii="Arial" w:hAnsi="Arial" w:cs="Arial"/>
          <w:b/>
          <w:bCs/>
          <w:sz w:val="24"/>
        </w:rPr>
        <w:t xml:space="preserve">Investigación epidemiológica avanzada </w:t>
      </w:r>
      <w:r>
        <w:rPr>
          <w:rFonts w:ascii="Arial" w:hAnsi="Arial" w:cs="Arial"/>
          <w:b/>
          <w:bCs/>
          <w:sz w:val="24"/>
        </w:rPr>
        <w:t xml:space="preserve"> </w:t>
      </w:r>
      <w:r w:rsidRPr="005069CD">
        <w:rPr>
          <w:rFonts w:ascii="Arial" w:hAnsi="Arial" w:cs="Arial"/>
          <w:b/>
          <w:bCs/>
          <w:sz w:val="24"/>
        </w:rPr>
        <w:t xml:space="preserve"> </w:t>
      </w:r>
    </w:p>
    <w:p w:rsidR="00FA1FDF" w:rsidRPr="005069CD" w:rsidRDefault="00FA1FDF" w:rsidP="00FA1FDF">
      <w:pPr>
        <w:spacing w:line="240" w:lineRule="auto"/>
        <w:jc w:val="center"/>
        <w:rPr>
          <w:rFonts w:ascii="Arial" w:hAnsi="Arial" w:cs="Arial"/>
          <w:b/>
          <w:bCs/>
          <w:sz w:val="24"/>
        </w:rPr>
      </w:pPr>
      <w:r w:rsidRPr="005069CD">
        <w:rPr>
          <w:rFonts w:ascii="Arial" w:hAnsi="Arial" w:cs="Arial"/>
          <w:b/>
          <w:bCs/>
          <w:sz w:val="24"/>
        </w:rPr>
        <w:t xml:space="preserve">  </w:t>
      </w:r>
      <w:r>
        <w:rPr>
          <w:rFonts w:ascii="Arial" w:hAnsi="Arial" w:cs="Arial"/>
          <w:b/>
          <w:bCs/>
          <w:sz w:val="24"/>
        </w:rPr>
        <w:t xml:space="preserve"> </w:t>
      </w:r>
      <w:r w:rsidRPr="005069CD">
        <w:rPr>
          <w:rFonts w:ascii="Arial" w:hAnsi="Arial" w:cs="Arial"/>
          <w:b/>
          <w:bCs/>
          <w:sz w:val="24"/>
        </w:rPr>
        <w:br/>
        <w:t>Tema:</w:t>
      </w:r>
    </w:p>
    <w:p w:rsidR="00FA1FDF" w:rsidRPr="005069CD" w:rsidRDefault="00FA1FDF" w:rsidP="00FA1FDF">
      <w:pPr>
        <w:spacing w:line="240" w:lineRule="auto"/>
        <w:rPr>
          <w:rFonts w:ascii="Arial" w:hAnsi="Arial" w:cs="Arial"/>
          <w:b/>
          <w:bCs/>
          <w:sz w:val="24"/>
        </w:rPr>
      </w:pPr>
    </w:p>
    <w:p w:rsidR="00FA1FDF" w:rsidRPr="005069CD" w:rsidRDefault="00FA1FDF" w:rsidP="00FA1FDF">
      <w:pPr>
        <w:spacing w:line="240" w:lineRule="auto"/>
        <w:jc w:val="center"/>
        <w:rPr>
          <w:rFonts w:ascii="Arial" w:hAnsi="Arial" w:cs="Arial"/>
          <w:b/>
          <w:sz w:val="24"/>
          <w:lang w:val="es-ES"/>
        </w:rPr>
      </w:pPr>
      <w:r>
        <w:rPr>
          <w:rFonts w:ascii="Arial" w:hAnsi="Arial" w:cs="Arial"/>
          <w:b/>
          <w:sz w:val="24"/>
          <w:lang w:val="es-ES"/>
        </w:rPr>
        <w:t xml:space="preserve">Reporte de lectura </w:t>
      </w:r>
    </w:p>
    <w:p w:rsidR="00FA1FDF" w:rsidRPr="005069CD" w:rsidRDefault="00FA1FDF" w:rsidP="00FA1FDF">
      <w:pPr>
        <w:spacing w:line="240" w:lineRule="auto"/>
        <w:jc w:val="center"/>
        <w:rPr>
          <w:rFonts w:ascii="Arial" w:hAnsi="Arial" w:cs="Arial"/>
          <w:b/>
          <w:sz w:val="24"/>
          <w:lang w:val="es-ES"/>
        </w:rPr>
      </w:pPr>
      <w:r w:rsidRPr="005069CD">
        <w:rPr>
          <w:rFonts w:ascii="Arial" w:hAnsi="Arial" w:cs="Arial"/>
          <w:b/>
          <w:sz w:val="24"/>
          <w:lang w:val="es-ES"/>
        </w:rPr>
        <w:t xml:space="preserve">Grado: </w:t>
      </w:r>
    </w:p>
    <w:p w:rsidR="00FA1FDF" w:rsidRPr="005069CD" w:rsidRDefault="00FA1FDF" w:rsidP="00FA1FDF">
      <w:pPr>
        <w:spacing w:line="240" w:lineRule="auto"/>
        <w:jc w:val="center"/>
        <w:rPr>
          <w:rFonts w:ascii="Arial" w:hAnsi="Arial" w:cs="Arial"/>
          <w:b/>
          <w:sz w:val="24"/>
          <w:lang w:val="es-ES"/>
        </w:rPr>
      </w:pPr>
      <w:r w:rsidRPr="005069CD">
        <w:rPr>
          <w:rFonts w:ascii="Arial" w:hAnsi="Arial" w:cs="Arial"/>
          <w:b/>
          <w:sz w:val="24"/>
          <w:lang w:val="es-ES"/>
        </w:rPr>
        <w:t xml:space="preserve">4° semestre de medicina humana </w:t>
      </w:r>
    </w:p>
    <w:p w:rsidR="00B13AAC" w:rsidRDefault="00B13AAC" w:rsidP="00FA1FDF">
      <w:pPr>
        <w:rPr>
          <w:rFonts w:ascii="Arial" w:hAnsi="Arial" w:cs="Arial"/>
          <w:sz w:val="24"/>
        </w:rPr>
      </w:pPr>
    </w:p>
    <w:p w:rsidR="00FA1FDF" w:rsidRDefault="00FA1FDF" w:rsidP="00FA1FDF">
      <w:pPr>
        <w:rPr>
          <w:rFonts w:ascii="Arial" w:hAnsi="Arial" w:cs="Arial"/>
          <w:sz w:val="24"/>
        </w:rPr>
      </w:pPr>
    </w:p>
    <w:p w:rsidR="00FA1FDF" w:rsidRDefault="00FA1FDF" w:rsidP="00FA1FDF">
      <w:pPr>
        <w:rPr>
          <w:rFonts w:ascii="Arial" w:hAnsi="Arial" w:cs="Arial"/>
          <w:sz w:val="24"/>
        </w:rPr>
      </w:pPr>
    </w:p>
    <w:p w:rsidR="00FA1FDF" w:rsidRDefault="00FA1FDF" w:rsidP="00FA1FDF">
      <w:pPr>
        <w:rPr>
          <w:rFonts w:ascii="Arial" w:hAnsi="Arial" w:cs="Arial"/>
          <w:sz w:val="24"/>
        </w:rPr>
      </w:pPr>
    </w:p>
    <w:p w:rsidR="00FA1FDF" w:rsidRDefault="00FA1FDF" w:rsidP="00FA1FDF">
      <w:pPr>
        <w:rPr>
          <w:rFonts w:ascii="Arial" w:hAnsi="Arial" w:cs="Arial"/>
          <w:sz w:val="24"/>
        </w:rPr>
      </w:pPr>
    </w:p>
    <w:p w:rsidR="00FA1FDF" w:rsidRDefault="00FA1FDF" w:rsidP="00FA1FDF">
      <w:pPr>
        <w:rPr>
          <w:rFonts w:ascii="Arial" w:hAnsi="Arial" w:cs="Arial"/>
          <w:sz w:val="24"/>
        </w:rPr>
      </w:pPr>
    </w:p>
    <w:p w:rsidR="00FA1FDF" w:rsidRDefault="00FA1FDF" w:rsidP="00FA1FDF">
      <w:pPr>
        <w:rPr>
          <w:rFonts w:ascii="Arial" w:hAnsi="Arial" w:cs="Arial"/>
          <w:sz w:val="24"/>
        </w:rPr>
      </w:pPr>
      <w:r>
        <w:rPr>
          <w:rFonts w:ascii="Arial" w:hAnsi="Arial" w:cs="Arial"/>
          <w:sz w:val="24"/>
        </w:rPr>
        <w:lastRenderedPageBreak/>
        <w:t xml:space="preserve">Fuentes demográficas </w:t>
      </w:r>
    </w:p>
    <w:p w:rsidR="00FA1FDF" w:rsidRDefault="00FA1FDF" w:rsidP="00FA1FDF">
      <w:pPr>
        <w:jc w:val="both"/>
        <w:rPr>
          <w:rFonts w:ascii="Arial" w:hAnsi="Arial" w:cs="Arial"/>
          <w:sz w:val="24"/>
        </w:rPr>
      </w:pPr>
      <w:r>
        <w:rPr>
          <w:rFonts w:ascii="Arial" w:hAnsi="Arial" w:cs="Arial"/>
          <w:sz w:val="24"/>
        </w:rPr>
        <w:t xml:space="preserve">La disponibilidad de información estadísticas fiable y adecuada es una condición necesaria para el análisis demográfico. El censo de población es la principal fuente de información demográfica. Los censos de población son recuentos individuales universal y periódicos que se deben realizar de forma simultánea. El movimiento natural de la población es una publicación periódica de los datos anuales de nacimientos, defunciones y matrimonios, procedentes de los registros civiles, agregados por unidades territoriales y clasificados según distintos criterios. El padrón de habitantes es un registro administrativo de competencia municipal sobre las altas, bajas y demás cambios de domicilio. </w:t>
      </w:r>
    </w:p>
    <w:p w:rsidR="00131B8D" w:rsidRDefault="00131B8D" w:rsidP="00FA1FDF">
      <w:pPr>
        <w:jc w:val="both"/>
        <w:rPr>
          <w:rFonts w:ascii="Arial" w:hAnsi="Arial" w:cs="Arial"/>
          <w:sz w:val="24"/>
        </w:rPr>
      </w:pPr>
      <w:r>
        <w:rPr>
          <w:rFonts w:ascii="Arial" w:hAnsi="Arial" w:cs="Arial"/>
          <w:sz w:val="24"/>
        </w:rPr>
        <w:t>Indicadores demográficos</w:t>
      </w:r>
    </w:p>
    <w:p w:rsidR="00131B8D" w:rsidRDefault="00131B8D" w:rsidP="00FA1FDF">
      <w:pPr>
        <w:jc w:val="both"/>
        <w:rPr>
          <w:rFonts w:ascii="Arial" w:hAnsi="Arial" w:cs="Arial"/>
          <w:sz w:val="24"/>
        </w:rPr>
      </w:pPr>
      <w:r>
        <w:rPr>
          <w:rFonts w:ascii="Arial" w:hAnsi="Arial" w:cs="Arial"/>
          <w:sz w:val="24"/>
        </w:rPr>
        <w:t xml:space="preserve">La forma más simple de establecer medidas poblacionales es mediante el uso de datos absolutos, si bien con estos no pueden establecer comparaciones. Los </w:t>
      </w:r>
      <w:proofErr w:type="spellStart"/>
      <w:r>
        <w:rPr>
          <w:rFonts w:ascii="Arial" w:hAnsi="Arial" w:cs="Arial"/>
          <w:sz w:val="24"/>
        </w:rPr>
        <w:t>mas</w:t>
      </w:r>
      <w:proofErr w:type="spellEnd"/>
      <w:r>
        <w:rPr>
          <w:rFonts w:ascii="Arial" w:hAnsi="Arial" w:cs="Arial"/>
          <w:sz w:val="24"/>
        </w:rPr>
        <w:t xml:space="preserve"> utilizados son las tasas, que miden, la frecuencia de los eventos demográficos acaecidos en una población durante un periodo de tiempo determinado, bien para el conjunto de la población, bien para determinados subconjuntos de poblaciones susceptible de ser afectado por dichos eventos.</w:t>
      </w:r>
    </w:p>
    <w:p w:rsidR="00131B8D" w:rsidRPr="00666CD4" w:rsidRDefault="00131B8D" w:rsidP="00FA1FDF">
      <w:pPr>
        <w:jc w:val="both"/>
        <w:rPr>
          <w:rFonts w:ascii="Arial" w:hAnsi="Arial" w:cs="Arial"/>
          <w:color w:val="000000" w:themeColor="text1"/>
          <w:sz w:val="24"/>
        </w:rPr>
      </w:pPr>
      <w:r>
        <w:rPr>
          <w:rFonts w:ascii="Arial" w:hAnsi="Arial" w:cs="Arial"/>
          <w:sz w:val="24"/>
        </w:rPr>
        <w:t xml:space="preserve">Características demográficas principales, las dos variables básicas y necesarias para describir las poblaciones son la edad y sexo. La pirámide de edades es la representación gráfica de la distribución de la población por sexo y edad cuya silueta </w:t>
      </w:r>
      <w:r w:rsidRPr="00666CD4">
        <w:rPr>
          <w:rFonts w:ascii="Arial" w:hAnsi="Arial" w:cs="Arial"/>
          <w:color w:val="000000" w:themeColor="text1"/>
          <w:sz w:val="24"/>
        </w:rPr>
        <w:t xml:space="preserve">ofrece información inmediata y detallada. A mayor natalidad, más ancha es la base. </w:t>
      </w:r>
    </w:p>
    <w:p w:rsidR="00131B8D" w:rsidRDefault="00131B8D" w:rsidP="00FA1FDF">
      <w:pPr>
        <w:jc w:val="both"/>
        <w:rPr>
          <w:rFonts w:ascii="Arial" w:hAnsi="Arial" w:cs="Arial"/>
          <w:color w:val="000000" w:themeColor="text1"/>
          <w:sz w:val="24"/>
          <w:szCs w:val="24"/>
          <w:shd w:val="clear" w:color="auto" w:fill="FFFFFF"/>
        </w:rPr>
      </w:pPr>
      <w:r>
        <w:rPr>
          <w:rFonts w:ascii="Arial" w:hAnsi="Arial" w:cs="Arial"/>
          <w:sz w:val="24"/>
        </w:rPr>
        <w:t>Crecimiento de la población y fenómenos demográficos, el crecimiento de la población mide el aumento, en un tiempo dado, del número de personas que viven en un país o una región. Sus dos principales componentes son el crecimiento o saldo migratorio. Los tres principales fenómenos demográficos: fecundidad, la natalidad y la fecundidad no son conceptos sinónimos. La primera se refiere a la frecuencia de los nacimientos ocurridos en una población tomada en su conjunto.</w:t>
      </w:r>
      <w:r w:rsidR="00C523CB">
        <w:rPr>
          <w:rFonts w:ascii="Arial" w:hAnsi="Arial" w:cs="Arial"/>
          <w:sz w:val="24"/>
        </w:rPr>
        <w:t xml:space="preserve"> El indicador que mejor refleja la intensidad de la fecundidad es el número medio de hijos por mujer o índice sintético de fecundidad. Mortalidad se caracteriza por ser un suceso inevitable, no renovable e irreversible. Esto o distingue de otros fenómenos demográficos y permite, a partir de las probabilidades de muerte, la construcción de tablas de mortalidad que conduce al cálculo de la esperanza de vida al nacer, e indicador sintético por excelencia de la mortalidad. El estudio de la mortalidad revela muchos detalles acerca del nivel de vida y de salud de una población. Migraciones son aquellos desplazamientos que implican un traslado de la residencia habitual y del espacio de vida de las personas. En combinación con la fecundidad y mortalidad, producen os movimientos naturales, alterando la composición de la población. </w:t>
      </w:r>
      <w:r w:rsidR="00C523CB" w:rsidRPr="00666CD4">
        <w:rPr>
          <w:rFonts w:ascii="Arial" w:hAnsi="Arial" w:cs="Arial"/>
          <w:color w:val="000000" w:themeColor="text1"/>
          <w:sz w:val="24"/>
          <w:szCs w:val="24"/>
        </w:rPr>
        <w:t xml:space="preserve">Tipos de análisis </w:t>
      </w:r>
      <w:r w:rsidR="00666CD4" w:rsidRPr="00666CD4">
        <w:rPr>
          <w:rFonts w:ascii="Arial" w:hAnsi="Arial" w:cs="Arial"/>
          <w:color w:val="000000" w:themeColor="text1"/>
          <w:sz w:val="24"/>
          <w:szCs w:val="24"/>
          <w:shd w:val="clear" w:color="auto" w:fill="FFFFFF"/>
        </w:rPr>
        <w:t>e</w:t>
      </w:r>
      <w:r w:rsidR="00C523CB" w:rsidRPr="00666CD4">
        <w:rPr>
          <w:rFonts w:ascii="Arial" w:hAnsi="Arial" w:cs="Arial"/>
          <w:color w:val="000000" w:themeColor="text1"/>
          <w:sz w:val="24"/>
          <w:szCs w:val="24"/>
          <w:shd w:val="clear" w:color="auto" w:fill="FFFFFF"/>
        </w:rPr>
        <w:t>ntre los diseños de estudio más empleados están los estudios transversales, los estudios de cohortes, los estudios de casos y controles y los ensayos clínicos</w:t>
      </w:r>
      <w:r w:rsidR="00666CD4">
        <w:rPr>
          <w:rFonts w:ascii="Arial" w:hAnsi="Arial" w:cs="Arial"/>
          <w:color w:val="000000" w:themeColor="text1"/>
          <w:sz w:val="24"/>
          <w:szCs w:val="24"/>
          <w:shd w:val="clear" w:color="auto" w:fill="FFFFFF"/>
        </w:rPr>
        <w:t xml:space="preserve">. </w:t>
      </w:r>
    </w:p>
    <w:p w:rsidR="00666CD4" w:rsidRPr="00666CD4" w:rsidRDefault="00666CD4" w:rsidP="00FA1FDF">
      <w:pPr>
        <w:jc w:val="both"/>
        <w:rPr>
          <w:rFonts w:ascii="Arial" w:hAnsi="Arial" w:cs="Arial"/>
          <w:sz w:val="24"/>
          <w:szCs w:val="24"/>
        </w:rPr>
      </w:pPr>
      <w:r>
        <w:rPr>
          <w:rFonts w:ascii="Arial" w:hAnsi="Arial" w:cs="Arial"/>
          <w:color w:val="000000" w:themeColor="text1"/>
          <w:sz w:val="24"/>
          <w:szCs w:val="24"/>
          <w:shd w:val="clear" w:color="auto" w:fill="FFFFFF"/>
        </w:rPr>
        <w:lastRenderedPageBreak/>
        <w:t xml:space="preserve">Demografía y salud pública, la demografía parte de la información que recoge de sus fuentes para construir indicadores que caractericen las poblaciones y el comportamiento de sus fenómenos demográficos. Sus análisis proporcionan a la salud publica las herramientas necesarias para conocer las características de las poblaciones o subpoblaciones sobre las que ha de intervenir, tanto en la planificación de programas de salud como en el establecimiento de políticas públicas. </w:t>
      </w:r>
      <w:bookmarkStart w:id="0" w:name="_GoBack"/>
      <w:bookmarkEnd w:id="0"/>
    </w:p>
    <w:sectPr w:rsidR="00666CD4" w:rsidRPr="00666C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DF"/>
    <w:rsid w:val="00131B8D"/>
    <w:rsid w:val="00666CD4"/>
    <w:rsid w:val="00B13AAC"/>
    <w:rsid w:val="00C523CB"/>
    <w:rsid w:val="00FA1F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82B9"/>
  <w15:chartTrackingRefBased/>
  <w15:docId w15:val="{B052BA5A-99A5-4452-BEC1-F9FEB617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FDF"/>
  </w:style>
  <w:style w:type="paragraph" w:styleId="Ttulo2">
    <w:name w:val="heading 2"/>
    <w:basedOn w:val="Normal"/>
    <w:next w:val="Normal"/>
    <w:link w:val="Ttulo2Car"/>
    <w:uiPriority w:val="9"/>
    <w:unhideWhenUsed/>
    <w:qFormat/>
    <w:rsid w:val="00FA1F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1FDF"/>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qFormat/>
    <w:rsid w:val="00FA1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1</cp:revision>
  <dcterms:created xsi:type="dcterms:W3CDTF">2020-09-24T02:01:00Z</dcterms:created>
  <dcterms:modified xsi:type="dcterms:W3CDTF">2020-09-24T02:41:00Z</dcterms:modified>
</cp:coreProperties>
</file>