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05" w:rsidRDefault="006A6805" w:rsidP="006A6805">
      <w:pPr>
        <w:jc w:val="center"/>
      </w:pPr>
      <w:r>
        <w:rPr>
          <w:noProof/>
          <w:lang w:eastAsia="es-MX"/>
        </w:rPr>
        <w:drawing>
          <wp:inline distT="0" distB="0" distL="0" distR="0" wp14:anchorId="7507097C">
            <wp:extent cx="2164080" cy="18472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1847215"/>
                    </a:xfrm>
                    <a:prstGeom prst="rect">
                      <a:avLst/>
                    </a:prstGeom>
                    <a:noFill/>
                  </pic:spPr>
                </pic:pic>
              </a:graphicData>
            </a:graphic>
          </wp:inline>
        </w:drawing>
      </w:r>
      <w:r>
        <w:t xml:space="preserve">                                       </w:t>
      </w:r>
      <w:r>
        <w:rPr>
          <w:noProof/>
          <w:lang w:eastAsia="es-MX"/>
        </w:rPr>
        <w:drawing>
          <wp:inline distT="0" distB="0" distL="0" distR="0" wp14:anchorId="060D4001">
            <wp:extent cx="2152015" cy="1847215"/>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015" cy="1847215"/>
                    </a:xfrm>
                    <a:prstGeom prst="rect">
                      <a:avLst/>
                    </a:prstGeom>
                    <a:noFill/>
                  </pic:spPr>
                </pic:pic>
              </a:graphicData>
            </a:graphic>
          </wp:inline>
        </w:drawing>
      </w:r>
      <w:r>
        <w:t xml:space="preserve">                                      </w:t>
      </w:r>
    </w:p>
    <w:p w:rsidR="006A6805" w:rsidRPr="006A6805" w:rsidRDefault="006A6805" w:rsidP="006A6805">
      <w:pPr>
        <w:jc w:val="center"/>
        <w:rPr>
          <w:rFonts w:ascii="Arial" w:hAnsi="Arial" w:cs="Arial"/>
          <w:b/>
          <w:sz w:val="24"/>
        </w:rPr>
      </w:pPr>
      <w:r w:rsidRPr="006A6805">
        <w:rPr>
          <w:rFonts w:ascii="Arial" w:hAnsi="Arial" w:cs="Arial"/>
          <w:b/>
          <w:sz w:val="24"/>
        </w:rPr>
        <w:t xml:space="preserve">UNIVERSIDAD DEL SUERESTE </w:t>
      </w:r>
    </w:p>
    <w:p w:rsidR="006A6805" w:rsidRPr="006A6805" w:rsidRDefault="006A6805" w:rsidP="006A6805">
      <w:pPr>
        <w:rPr>
          <w:rFonts w:ascii="Arial" w:hAnsi="Arial" w:cs="Arial"/>
          <w:b/>
          <w:sz w:val="24"/>
        </w:rPr>
      </w:pPr>
    </w:p>
    <w:p w:rsidR="006A6805" w:rsidRPr="006A6805" w:rsidRDefault="006A6805" w:rsidP="006A6805">
      <w:pPr>
        <w:jc w:val="center"/>
        <w:rPr>
          <w:rFonts w:ascii="Arial" w:hAnsi="Arial" w:cs="Arial"/>
          <w:b/>
          <w:sz w:val="24"/>
        </w:rPr>
      </w:pPr>
      <w:r w:rsidRPr="006A6805">
        <w:rPr>
          <w:rFonts w:ascii="Arial" w:hAnsi="Arial" w:cs="Arial"/>
          <w:b/>
          <w:sz w:val="24"/>
        </w:rPr>
        <w:t xml:space="preserve">Dr. Samuel </w:t>
      </w:r>
      <w:proofErr w:type="spellStart"/>
      <w:r w:rsidRPr="006A6805">
        <w:rPr>
          <w:rFonts w:ascii="Arial" w:hAnsi="Arial" w:cs="Arial"/>
          <w:b/>
          <w:sz w:val="24"/>
        </w:rPr>
        <w:t>Esau</w:t>
      </w:r>
      <w:proofErr w:type="spellEnd"/>
      <w:r w:rsidRPr="006A6805">
        <w:rPr>
          <w:rFonts w:ascii="Arial" w:hAnsi="Arial" w:cs="Arial"/>
          <w:b/>
          <w:sz w:val="24"/>
        </w:rPr>
        <w:t xml:space="preserve"> Fonseca Fierro</w:t>
      </w:r>
    </w:p>
    <w:p w:rsidR="006A6805" w:rsidRPr="006A6805" w:rsidRDefault="006A6805" w:rsidP="006A6805">
      <w:pPr>
        <w:rPr>
          <w:rFonts w:ascii="Arial" w:hAnsi="Arial" w:cs="Arial"/>
          <w:b/>
          <w:sz w:val="24"/>
        </w:rPr>
      </w:pPr>
    </w:p>
    <w:p w:rsidR="006A6805" w:rsidRPr="006A6805" w:rsidRDefault="006A6805" w:rsidP="006A6805">
      <w:pPr>
        <w:jc w:val="center"/>
        <w:rPr>
          <w:rFonts w:ascii="Arial" w:hAnsi="Arial" w:cs="Arial"/>
          <w:b/>
          <w:sz w:val="24"/>
        </w:rPr>
      </w:pPr>
      <w:r>
        <w:rPr>
          <w:rFonts w:ascii="Arial" w:hAnsi="Arial" w:cs="Arial"/>
          <w:b/>
          <w:sz w:val="24"/>
        </w:rPr>
        <w:t>Alumno:</w:t>
      </w:r>
    </w:p>
    <w:p w:rsidR="006A6805" w:rsidRPr="006A6805" w:rsidRDefault="006A6805" w:rsidP="006A6805">
      <w:pPr>
        <w:jc w:val="center"/>
        <w:rPr>
          <w:rFonts w:ascii="Arial" w:hAnsi="Arial" w:cs="Arial"/>
          <w:b/>
          <w:sz w:val="24"/>
        </w:rPr>
      </w:pPr>
    </w:p>
    <w:p w:rsidR="006A6805" w:rsidRPr="006A6805" w:rsidRDefault="006A6805" w:rsidP="006A6805">
      <w:pPr>
        <w:jc w:val="center"/>
        <w:rPr>
          <w:rFonts w:ascii="Arial" w:hAnsi="Arial" w:cs="Arial"/>
          <w:b/>
          <w:sz w:val="24"/>
        </w:rPr>
      </w:pPr>
      <w:r w:rsidRPr="006A6805">
        <w:rPr>
          <w:rFonts w:ascii="Arial" w:hAnsi="Arial" w:cs="Arial"/>
          <w:b/>
          <w:sz w:val="24"/>
        </w:rPr>
        <w:t xml:space="preserve">Jonathan Suriano Cruz </w:t>
      </w:r>
    </w:p>
    <w:p w:rsidR="006A6805" w:rsidRPr="006A6805" w:rsidRDefault="006A6805" w:rsidP="006A6805">
      <w:pPr>
        <w:rPr>
          <w:rFonts w:ascii="Arial" w:hAnsi="Arial" w:cs="Arial"/>
          <w:b/>
          <w:sz w:val="24"/>
        </w:rPr>
      </w:pPr>
    </w:p>
    <w:p w:rsidR="006A6805" w:rsidRPr="006A6805" w:rsidRDefault="006A6805" w:rsidP="006A6805">
      <w:pPr>
        <w:jc w:val="center"/>
        <w:rPr>
          <w:rFonts w:ascii="Arial" w:hAnsi="Arial" w:cs="Arial"/>
          <w:b/>
          <w:sz w:val="24"/>
        </w:rPr>
      </w:pPr>
      <w:r w:rsidRPr="006A6805">
        <w:rPr>
          <w:rFonts w:ascii="Arial" w:hAnsi="Arial" w:cs="Arial"/>
          <w:b/>
          <w:sz w:val="24"/>
        </w:rPr>
        <w:t>Materia:</w:t>
      </w:r>
    </w:p>
    <w:p w:rsidR="006A6805" w:rsidRPr="006A6805" w:rsidRDefault="006A6805" w:rsidP="006A6805">
      <w:pPr>
        <w:rPr>
          <w:rFonts w:ascii="Arial" w:hAnsi="Arial" w:cs="Arial"/>
          <w:b/>
          <w:sz w:val="24"/>
        </w:rPr>
      </w:pPr>
    </w:p>
    <w:p w:rsidR="006A6805" w:rsidRPr="006A6805" w:rsidRDefault="006A6805" w:rsidP="006A6805">
      <w:pPr>
        <w:jc w:val="center"/>
        <w:rPr>
          <w:rFonts w:ascii="Arial" w:hAnsi="Arial" w:cs="Arial"/>
          <w:b/>
          <w:sz w:val="24"/>
        </w:rPr>
      </w:pPr>
      <w:r>
        <w:rPr>
          <w:rFonts w:ascii="Arial" w:hAnsi="Arial" w:cs="Arial"/>
          <w:b/>
          <w:sz w:val="24"/>
        </w:rPr>
        <w:t xml:space="preserve">Imagenologia </w:t>
      </w:r>
      <w:r w:rsidRPr="006A6805">
        <w:rPr>
          <w:rFonts w:ascii="Arial" w:hAnsi="Arial" w:cs="Arial"/>
          <w:b/>
          <w:sz w:val="24"/>
        </w:rPr>
        <w:t xml:space="preserve">   </w:t>
      </w:r>
    </w:p>
    <w:p w:rsidR="006A6805" w:rsidRPr="006A6805" w:rsidRDefault="006A6805" w:rsidP="006A6805">
      <w:pPr>
        <w:jc w:val="center"/>
        <w:rPr>
          <w:rFonts w:ascii="Arial" w:hAnsi="Arial" w:cs="Arial"/>
          <w:b/>
          <w:sz w:val="24"/>
        </w:rPr>
      </w:pPr>
    </w:p>
    <w:p w:rsidR="006A6805" w:rsidRPr="006A6805" w:rsidRDefault="006A6805" w:rsidP="006A6805">
      <w:pPr>
        <w:jc w:val="center"/>
        <w:rPr>
          <w:rFonts w:ascii="Arial" w:hAnsi="Arial" w:cs="Arial"/>
          <w:b/>
          <w:sz w:val="24"/>
        </w:rPr>
      </w:pPr>
      <w:r>
        <w:rPr>
          <w:rFonts w:ascii="Arial" w:hAnsi="Arial" w:cs="Arial"/>
          <w:b/>
          <w:sz w:val="24"/>
        </w:rPr>
        <w:t>Tema:</w:t>
      </w:r>
    </w:p>
    <w:p w:rsidR="006A6805" w:rsidRPr="006A6805" w:rsidRDefault="006A6805" w:rsidP="006A6805">
      <w:pPr>
        <w:jc w:val="center"/>
        <w:rPr>
          <w:rFonts w:ascii="Arial" w:hAnsi="Arial" w:cs="Arial"/>
          <w:b/>
          <w:sz w:val="24"/>
        </w:rPr>
      </w:pPr>
    </w:p>
    <w:p w:rsidR="006A6805" w:rsidRDefault="00B3532A" w:rsidP="006A6805">
      <w:pPr>
        <w:jc w:val="center"/>
        <w:rPr>
          <w:rFonts w:ascii="Arial" w:hAnsi="Arial" w:cs="Arial"/>
          <w:b/>
          <w:sz w:val="24"/>
        </w:rPr>
      </w:pPr>
      <w:r>
        <w:rPr>
          <w:rFonts w:ascii="Arial" w:hAnsi="Arial" w:cs="Arial"/>
          <w:b/>
          <w:sz w:val="24"/>
        </w:rPr>
        <w:t xml:space="preserve">Hemorragia subaracnoidea </w:t>
      </w:r>
    </w:p>
    <w:p w:rsidR="006A6805" w:rsidRPr="006A6805" w:rsidRDefault="006A6805" w:rsidP="006A6805">
      <w:pPr>
        <w:jc w:val="center"/>
        <w:rPr>
          <w:rFonts w:ascii="Arial" w:hAnsi="Arial" w:cs="Arial"/>
          <w:b/>
          <w:sz w:val="24"/>
        </w:rPr>
      </w:pPr>
    </w:p>
    <w:p w:rsidR="006A6805" w:rsidRDefault="006A6805" w:rsidP="006A6805">
      <w:pPr>
        <w:jc w:val="center"/>
        <w:rPr>
          <w:rFonts w:ascii="Arial" w:hAnsi="Arial" w:cs="Arial"/>
          <w:b/>
          <w:sz w:val="24"/>
        </w:rPr>
      </w:pPr>
      <w:r w:rsidRPr="006A6805">
        <w:rPr>
          <w:rFonts w:ascii="Arial" w:hAnsi="Arial" w:cs="Arial"/>
          <w:b/>
          <w:sz w:val="24"/>
        </w:rPr>
        <w:t xml:space="preserve">Grado: </w:t>
      </w:r>
    </w:p>
    <w:p w:rsidR="006A6805" w:rsidRPr="006A6805" w:rsidRDefault="006A6805" w:rsidP="006A6805">
      <w:pPr>
        <w:jc w:val="center"/>
        <w:rPr>
          <w:rFonts w:ascii="Arial" w:hAnsi="Arial" w:cs="Arial"/>
          <w:b/>
          <w:sz w:val="24"/>
        </w:rPr>
      </w:pPr>
    </w:p>
    <w:p w:rsidR="00852291" w:rsidRDefault="006A6805" w:rsidP="006A6805">
      <w:pPr>
        <w:jc w:val="center"/>
        <w:rPr>
          <w:rFonts w:ascii="Arial" w:hAnsi="Arial" w:cs="Arial"/>
          <w:b/>
          <w:sz w:val="24"/>
        </w:rPr>
      </w:pPr>
      <w:r w:rsidRPr="006A6805">
        <w:rPr>
          <w:rFonts w:ascii="Arial" w:hAnsi="Arial" w:cs="Arial"/>
          <w:b/>
          <w:sz w:val="24"/>
        </w:rPr>
        <w:t>4° semestre de medicina humana</w:t>
      </w:r>
    </w:p>
    <w:p w:rsidR="006A6805" w:rsidRDefault="006A6805" w:rsidP="006A6805">
      <w:pPr>
        <w:jc w:val="center"/>
        <w:rPr>
          <w:rFonts w:ascii="Arial" w:hAnsi="Arial" w:cs="Arial"/>
          <w:b/>
          <w:sz w:val="24"/>
        </w:rPr>
      </w:pPr>
    </w:p>
    <w:p w:rsidR="006A6805" w:rsidRDefault="006A6805" w:rsidP="006A6805">
      <w:pPr>
        <w:jc w:val="center"/>
        <w:rPr>
          <w:rFonts w:ascii="Arial" w:hAnsi="Arial" w:cs="Arial"/>
          <w:b/>
          <w:sz w:val="24"/>
        </w:rPr>
      </w:pPr>
    </w:p>
    <w:p w:rsidR="006A6805" w:rsidRDefault="006A6805" w:rsidP="006A6805">
      <w:pPr>
        <w:jc w:val="center"/>
        <w:rPr>
          <w:rFonts w:ascii="Arial" w:hAnsi="Arial" w:cs="Arial"/>
          <w:b/>
          <w:sz w:val="24"/>
        </w:rPr>
      </w:pPr>
    </w:p>
    <w:p w:rsidR="00B3532A" w:rsidRDefault="00B3532A" w:rsidP="00B3532A">
      <w:pPr>
        <w:jc w:val="both"/>
        <w:rPr>
          <w:rFonts w:ascii="Arial" w:hAnsi="Arial" w:cs="Arial"/>
          <w:sz w:val="24"/>
          <w:szCs w:val="24"/>
        </w:rPr>
      </w:pPr>
      <w:r w:rsidRPr="00B3532A">
        <w:rPr>
          <w:rFonts w:ascii="Arial" w:hAnsi="Arial" w:cs="Arial"/>
          <w:sz w:val="24"/>
          <w:szCs w:val="24"/>
        </w:rPr>
        <w:lastRenderedPageBreak/>
        <w:t>La hemorragia subaracnoidea es el sangrado entre la aracnoides y la piamadre. En general, el traumatismo de cráneo es la causa más frecuente, pero la hemorragia subaracnoidea traumática suele considerarse una entidad separada. La hemorragia subaracnoidea espontánea (primaria) suele ser el resultado de la rotura de los aneurismas. Un aneurisma sacular o en fresa intracraneano congénito es la causa en alrededor del 85% de los pacientes. El sangrado puede detenerse de forma espontánea. La hemorragia aneurismática puede ocurrir a cualquier edad, pero es más frecuente entre los 40 y los 65 años.</w:t>
      </w:r>
      <w:r>
        <w:rPr>
          <w:rFonts w:ascii="Arial" w:hAnsi="Arial" w:cs="Arial"/>
          <w:sz w:val="24"/>
          <w:szCs w:val="24"/>
        </w:rPr>
        <w:t xml:space="preserve"> </w:t>
      </w:r>
      <w:r w:rsidR="00BC375E" w:rsidRPr="00BC375E">
        <w:rPr>
          <w:rFonts w:ascii="Arial" w:hAnsi="Arial" w:cs="Arial"/>
          <w:sz w:val="24"/>
          <w:szCs w:val="24"/>
        </w:rPr>
        <w:t xml:space="preserve">Sangrado de una maraña de vasos sanguíneos llamado una malformación </w:t>
      </w:r>
      <w:proofErr w:type="spellStart"/>
      <w:r w:rsidR="00BC375E" w:rsidRPr="00BC375E">
        <w:rPr>
          <w:rFonts w:ascii="Arial" w:hAnsi="Arial" w:cs="Arial"/>
          <w:sz w:val="24"/>
          <w:szCs w:val="24"/>
        </w:rPr>
        <w:t>arteriovenosa</w:t>
      </w:r>
      <w:proofErr w:type="spellEnd"/>
      <w:r w:rsidR="00BC375E" w:rsidRPr="00BC375E">
        <w:rPr>
          <w:rFonts w:ascii="Arial" w:hAnsi="Arial" w:cs="Arial"/>
          <w:sz w:val="24"/>
          <w:szCs w:val="24"/>
        </w:rPr>
        <w:t xml:space="preserve"> (MAV) Trastorno hemorrágico. Sangrado de un aneurisma cerebral (un área débil en la pared de un vaso sanguíneo que causa que dicho vaso sobresalga o se hinche) Traumatismo craneal.</w:t>
      </w:r>
      <w:r w:rsidR="00BC375E">
        <w:rPr>
          <w:rFonts w:ascii="Arial" w:hAnsi="Arial" w:cs="Arial"/>
          <w:sz w:val="24"/>
          <w:szCs w:val="24"/>
        </w:rPr>
        <w:t xml:space="preserve"> </w:t>
      </w:r>
      <w:r w:rsidRPr="00B3532A">
        <w:rPr>
          <w:rFonts w:ascii="Arial" w:hAnsi="Arial" w:cs="Arial"/>
          <w:sz w:val="24"/>
          <w:szCs w:val="24"/>
        </w:rPr>
        <w:t>La cefalea suele ser intensa y alcanzar un pico en algunos segundos. Puede seguir la pérdida de conciencia, por lo general inmediata, pero a veces no hasta varias horas después. Pueden producirse déficits neurológicos graves que se tornan irreversibles en minutos o en algunas horas. Puede haber compromiso del sensorio, y los pacientes pueden ponerse inquietos. Es posible que se presenten convulsiones. Por lo general, el cuello no está rígido al inicio a menos que se hernien las amígdalas cerebelosas. Sin embargo, dentro de las 24 h, la meningitis química produce un meningismo moderado a pronunciado, vómitos y, a veces, respuestas plantares extensoras bilaterales. Las frecuencias cardíaca o respiratoria muchas veces son anormales</w:t>
      </w:r>
      <w:r>
        <w:rPr>
          <w:rFonts w:ascii="Arial" w:hAnsi="Arial" w:cs="Arial"/>
          <w:sz w:val="24"/>
          <w:szCs w:val="24"/>
        </w:rPr>
        <w:t xml:space="preserve">. </w:t>
      </w:r>
      <w:r w:rsidRPr="00B3532A">
        <w:rPr>
          <w:rFonts w:ascii="Arial" w:hAnsi="Arial" w:cs="Arial"/>
          <w:sz w:val="24"/>
          <w:szCs w:val="24"/>
        </w:rPr>
        <w:t xml:space="preserve">Habitualmente, TC sin contraste y, si </w:t>
      </w:r>
      <w:r>
        <w:rPr>
          <w:rFonts w:ascii="Arial" w:hAnsi="Arial" w:cs="Arial"/>
          <w:sz w:val="24"/>
          <w:szCs w:val="24"/>
        </w:rPr>
        <w:t xml:space="preserve">es negativa, una punción lumbar. </w:t>
      </w:r>
      <w:r w:rsidRPr="00B3532A">
        <w:rPr>
          <w:rFonts w:ascii="Arial" w:hAnsi="Arial" w:cs="Arial"/>
          <w:sz w:val="24"/>
          <w:szCs w:val="24"/>
        </w:rPr>
        <w:t>El diagnóstico de la hemorragia subaracnoidea es sugerido por los síntomas característicos. Los estudios deben realizarse tan rápido como sea posible, antes de que el daño se torne irreversible.</w:t>
      </w:r>
      <w:r>
        <w:rPr>
          <w:rFonts w:ascii="Arial" w:hAnsi="Arial" w:cs="Arial"/>
          <w:sz w:val="24"/>
          <w:szCs w:val="24"/>
        </w:rPr>
        <w:t xml:space="preserve"> </w:t>
      </w:r>
      <w:r w:rsidRPr="00B3532A">
        <w:rPr>
          <w:rFonts w:ascii="Arial" w:hAnsi="Arial" w:cs="Arial"/>
          <w:sz w:val="24"/>
          <w:szCs w:val="24"/>
        </w:rPr>
        <w:t>La TC sin contraste se realiza dentro de las 6 h del inicio de los síntomas. La RM tiene una sensibilidad similar, pero es menos probable contar con ella de inmediato. Si el volumen de sangre es pequeño o si el paciente está tan anémico que la sangre es isodensa con el tejido cerebral, es posible un resultado falso negativo.</w:t>
      </w:r>
      <w:r>
        <w:rPr>
          <w:rFonts w:ascii="Arial" w:hAnsi="Arial" w:cs="Arial"/>
          <w:sz w:val="24"/>
          <w:szCs w:val="24"/>
        </w:rPr>
        <w:t xml:space="preserve"> </w:t>
      </w:r>
      <w:r w:rsidRPr="00BC375E">
        <w:rPr>
          <w:rFonts w:ascii="Arial" w:hAnsi="Arial" w:cs="Arial"/>
          <w:b/>
          <w:sz w:val="24"/>
          <w:szCs w:val="24"/>
        </w:rPr>
        <w:t>Tratamiento</w:t>
      </w:r>
      <w:r w:rsidRPr="00B3532A">
        <w:rPr>
          <w:rFonts w:ascii="Arial" w:hAnsi="Arial" w:cs="Arial"/>
          <w:sz w:val="24"/>
          <w:szCs w:val="24"/>
        </w:rPr>
        <w:t xml:space="preserve"> en un centro integr</w:t>
      </w:r>
      <w:r>
        <w:rPr>
          <w:rFonts w:ascii="Arial" w:hAnsi="Arial" w:cs="Arial"/>
          <w:sz w:val="24"/>
          <w:szCs w:val="24"/>
        </w:rPr>
        <w:t xml:space="preserve">al de accidente cerebrovascular, </w:t>
      </w:r>
      <w:r w:rsidRPr="00B3532A">
        <w:rPr>
          <w:rFonts w:ascii="Arial" w:hAnsi="Arial" w:cs="Arial"/>
          <w:sz w:val="24"/>
          <w:szCs w:val="24"/>
        </w:rPr>
        <w:t>Nicardipina si la tensi</w:t>
      </w:r>
      <w:r>
        <w:rPr>
          <w:rFonts w:ascii="Arial" w:hAnsi="Arial" w:cs="Arial"/>
          <w:sz w:val="24"/>
          <w:szCs w:val="24"/>
        </w:rPr>
        <w:t xml:space="preserve">ón arterial media es &gt; 130 mmHg, </w:t>
      </w:r>
      <w:r w:rsidRPr="00B3532A">
        <w:rPr>
          <w:rFonts w:ascii="Arial" w:hAnsi="Arial" w:cs="Arial"/>
          <w:sz w:val="24"/>
          <w:szCs w:val="24"/>
        </w:rPr>
        <w:t>Nimodipi</w:t>
      </w:r>
      <w:r>
        <w:rPr>
          <w:rFonts w:ascii="Arial" w:hAnsi="Arial" w:cs="Arial"/>
          <w:sz w:val="24"/>
          <w:szCs w:val="24"/>
        </w:rPr>
        <w:t xml:space="preserve">na para prevenir el vasoespasmo y </w:t>
      </w:r>
      <w:r w:rsidRPr="00B3532A">
        <w:rPr>
          <w:rFonts w:ascii="Arial" w:hAnsi="Arial" w:cs="Arial"/>
          <w:sz w:val="24"/>
          <w:szCs w:val="24"/>
        </w:rPr>
        <w:t>Oclusión del aneurisma causa</w:t>
      </w:r>
      <w:bookmarkStart w:id="0" w:name="_GoBack"/>
      <w:bookmarkEnd w:id="0"/>
      <w:r w:rsidRPr="00B3532A">
        <w:rPr>
          <w:rFonts w:ascii="Arial" w:hAnsi="Arial" w:cs="Arial"/>
          <w:sz w:val="24"/>
          <w:szCs w:val="24"/>
        </w:rPr>
        <w:t>l</w:t>
      </w:r>
      <w:r>
        <w:rPr>
          <w:rFonts w:ascii="Arial" w:hAnsi="Arial" w:cs="Arial"/>
          <w:sz w:val="24"/>
          <w:szCs w:val="24"/>
        </w:rPr>
        <w:t>.</w:t>
      </w:r>
    </w:p>
    <w:p w:rsidR="00B3532A" w:rsidRPr="00B3532A" w:rsidRDefault="00B3532A" w:rsidP="00B3532A">
      <w:pPr>
        <w:jc w:val="both"/>
        <w:rPr>
          <w:rFonts w:ascii="Arial" w:hAnsi="Arial" w:cs="Arial"/>
          <w:b/>
          <w:sz w:val="24"/>
          <w:szCs w:val="24"/>
        </w:rPr>
      </w:pPr>
      <w:r w:rsidRPr="00B3532A">
        <w:rPr>
          <w:rFonts w:ascii="Arial" w:hAnsi="Arial" w:cs="Arial"/>
          <w:b/>
          <w:sz w:val="24"/>
          <w:szCs w:val="24"/>
        </w:rPr>
        <w:t xml:space="preserve">Escala de </w:t>
      </w:r>
      <w:proofErr w:type="spellStart"/>
      <w:r w:rsidRPr="00B3532A">
        <w:rPr>
          <w:rFonts w:ascii="Arial" w:hAnsi="Arial" w:cs="Arial"/>
          <w:b/>
          <w:sz w:val="24"/>
          <w:szCs w:val="24"/>
        </w:rPr>
        <w:t>Hunt</w:t>
      </w:r>
      <w:proofErr w:type="spellEnd"/>
      <w:r w:rsidRPr="00B3532A">
        <w:rPr>
          <w:rFonts w:ascii="Arial" w:hAnsi="Arial" w:cs="Arial"/>
          <w:b/>
          <w:sz w:val="24"/>
          <w:szCs w:val="24"/>
        </w:rPr>
        <w:t xml:space="preserve"> y </w:t>
      </w:r>
      <w:proofErr w:type="spellStart"/>
      <w:r w:rsidRPr="00B3532A">
        <w:rPr>
          <w:rFonts w:ascii="Arial" w:hAnsi="Arial" w:cs="Arial"/>
          <w:b/>
          <w:sz w:val="24"/>
          <w:szCs w:val="24"/>
        </w:rPr>
        <w:t>Hess</w:t>
      </w:r>
      <w:proofErr w:type="spellEnd"/>
    </w:p>
    <w:p w:rsidR="00B3532A" w:rsidRPr="00B3532A" w:rsidRDefault="00B3532A" w:rsidP="00B3532A">
      <w:pPr>
        <w:pStyle w:val="Prrafodelista"/>
        <w:numPr>
          <w:ilvl w:val="0"/>
          <w:numId w:val="1"/>
        </w:numPr>
        <w:jc w:val="both"/>
        <w:rPr>
          <w:rFonts w:ascii="Arial" w:hAnsi="Arial" w:cs="Arial"/>
          <w:sz w:val="24"/>
          <w:szCs w:val="24"/>
        </w:rPr>
      </w:pPr>
      <w:r w:rsidRPr="00B3532A">
        <w:rPr>
          <w:rFonts w:ascii="Arial" w:hAnsi="Arial" w:cs="Arial"/>
          <w:sz w:val="24"/>
          <w:szCs w:val="24"/>
        </w:rPr>
        <w:t xml:space="preserve">Grado I Ausencia de síntomas, </w:t>
      </w:r>
      <w:r w:rsidRPr="00B3532A">
        <w:rPr>
          <w:rFonts w:ascii="Arial" w:hAnsi="Arial" w:cs="Arial"/>
          <w:sz w:val="24"/>
          <w:szCs w:val="24"/>
        </w:rPr>
        <w:t>cefalea leve o rigidez de nuca leve</w:t>
      </w:r>
      <w:r w:rsidRPr="00B3532A">
        <w:rPr>
          <w:rFonts w:ascii="Arial" w:hAnsi="Arial" w:cs="Arial"/>
          <w:sz w:val="24"/>
          <w:szCs w:val="24"/>
        </w:rPr>
        <w:t>.</w:t>
      </w:r>
    </w:p>
    <w:p w:rsidR="00B3532A" w:rsidRPr="00B3532A" w:rsidRDefault="00B3532A" w:rsidP="00B3532A">
      <w:pPr>
        <w:pStyle w:val="Prrafodelista"/>
        <w:numPr>
          <w:ilvl w:val="0"/>
          <w:numId w:val="2"/>
        </w:numPr>
        <w:jc w:val="both"/>
        <w:rPr>
          <w:rFonts w:ascii="Arial" w:hAnsi="Arial" w:cs="Arial"/>
          <w:sz w:val="24"/>
          <w:szCs w:val="24"/>
        </w:rPr>
      </w:pPr>
      <w:r w:rsidRPr="00B3532A">
        <w:rPr>
          <w:rFonts w:ascii="Arial" w:hAnsi="Arial" w:cs="Arial"/>
          <w:sz w:val="24"/>
          <w:szCs w:val="24"/>
        </w:rPr>
        <w:t xml:space="preserve">Grado II Cefalea moderada a </w:t>
      </w:r>
      <w:r w:rsidRPr="00B3532A">
        <w:rPr>
          <w:rFonts w:ascii="Arial" w:hAnsi="Arial" w:cs="Arial"/>
          <w:sz w:val="24"/>
          <w:szCs w:val="24"/>
        </w:rPr>
        <w:t>s</w:t>
      </w:r>
      <w:r w:rsidRPr="00B3532A">
        <w:rPr>
          <w:rFonts w:ascii="Arial" w:hAnsi="Arial" w:cs="Arial"/>
          <w:sz w:val="24"/>
          <w:szCs w:val="24"/>
        </w:rPr>
        <w:t xml:space="preserve">evera, rigidez de nuca, paresia </w:t>
      </w:r>
      <w:r w:rsidRPr="00B3532A">
        <w:rPr>
          <w:rFonts w:ascii="Arial" w:hAnsi="Arial" w:cs="Arial"/>
          <w:sz w:val="24"/>
          <w:szCs w:val="24"/>
        </w:rPr>
        <w:t>de pares craneales</w:t>
      </w:r>
    </w:p>
    <w:p w:rsidR="00B3532A" w:rsidRPr="00B3532A" w:rsidRDefault="00B3532A" w:rsidP="00B3532A">
      <w:pPr>
        <w:pStyle w:val="Prrafodelista"/>
        <w:numPr>
          <w:ilvl w:val="0"/>
          <w:numId w:val="2"/>
        </w:numPr>
        <w:jc w:val="both"/>
        <w:rPr>
          <w:rFonts w:ascii="Arial" w:hAnsi="Arial" w:cs="Arial"/>
          <w:sz w:val="24"/>
          <w:szCs w:val="24"/>
        </w:rPr>
      </w:pPr>
      <w:r w:rsidRPr="00B3532A">
        <w:rPr>
          <w:rFonts w:ascii="Arial" w:hAnsi="Arial" w:cs="Arial"/>
          <w:sz w:val="24"/>
          <w:szCs w:val="24"/>
        </w:rPr>
        <w:t xml:space="preserve">Grado III Obnubilación, </w:t>
      </w:r>
      <w:r w:rsidRPr="00B3532A">
        <w:rPr>
          <w:rFonts w:ascii="Arial" w:hAnsi="Arial" w:cs="Arial"/>
          <w:sz w:val="24"/>
          <w:szCs w:val="24"/>
        </w:rPr>
        <w:t>confusión, leve déficit motor</w:t>
      </w:r>
      <w:r w:rsidRPr="00B3532A">
        <w:rPr>
          <w:rFonts w:ascii="Arial" w:hAnsi="Arial" w:cs="Arial"/>
          <w:sz w:val="24"/>
          <w:szCs w:val="24"/>
        </w:rPr>
        <w:t>.</w:t>
      </w:r>
    </w:p>
    <w:p w:rsidR="00B3532A" w:rsidRPr="00B3532A" w:rsidRDefault="00B3532A" w:rsidP="00B3532A">
      <w:pPr>
        <w:pStyle w:val="Prrafodelista"/>
        <w:numPr>
          <w:ilvl w:val="0"/>
          <w:numId w:val="2"/>
        </w:numPr>
        <w:jc w:val="both"/>
        <w:rPr>
          <w:rFonts w:ascii="Arial" w:hAnsi="Arial" w:cs="Arial"/>
          <w:sz w:val="24"/>
          <w:szCs w:val="24"/>
        </w:rPr>
      </w:pPr>
      <w:r w:rsidRPr="00B3532A">
        <w:rPr>
          <w:rFonts w:ascii="Arial" w:hAnsi="Arial" w:cs="Arial"/>
          <w:sz w:val="24"/>
          <w:szCs w:val="24"/>
        </w:rPr>
        <w:t>Grado IV Estupor, hemiparesia</w:t>
      </w:r>
      <w:r w:rsidRPr="00B3532A">
        <w:rPr>
          <w:rFonts w:ascii="Arial" w:hAnsi="Arial" w:cs="Arial"/>
          <w:sz w:val="24"/>
          <w:szCs w:val="24"/>
        </w:rPr>
        <w:t xml:space="preserve"> moderada a severa, rigidez de descerebración temprana o </w:t>
      </w:r>
      <w:r w:rsidRPr="00B3532A">
        <w:rPr>
          <w:rFonts w:ascii="Arial" w:hAnsi="Arial" w:cs="Arial"/>
          <w:sz w:val="24"/>
          <w:szCs w:val="24"/>
        </w:rPr>
        <w:t>trastornos neurovegetativos</w:t>
      </w:r>
      <w:r w:rsidRPr="00B3532A">
        <w:rPr>
          <w:rFonts w:ascii="Arial" w:hAnsi="Arial" w:cs="Arial"/>
          <w:sz w:val="24"/>
          <w:szCs w:val="24"/>
        </w:rPr>
        <w:t>.</w:t>
      </w:r>
    </w:p>
    <w:p w:rsidR="00B3532A" w:rsidRDefault="00B3532A" w:rsidP="00B3532A">
      <w:pPr>
        <w:pStyle w:val="Prrafodelista"/>
        <w:numPr>
          <w:ilvl w:val="0"/>
          <w:numId w:val="2"/>
        </w:numPr>
        <w:jc w:val="both"/>
        <w:rPr>
          <w:rFonts w:ascii="Arial" w:hAnsi="Arial" w:cs="Arial"/>
          <w:sz w:val="24"/>
          <w:szCs w:val="24"/>
        </w:rPr>
      </w:pPr>
      <w:r w:rsidRPr="00B3532A">
        <w:rPr>
          <w:rFonts w:ascii="Arial" w:hAnsi="Arial" w:cs="Arial"/>
          <w:sz w:val="24"/>
          <w:szCs w:val="24"/>
        </w:rPr>
        <w:t xml:space="preserve">Grado V Coma, rigidez de </w:t>
      </w:r>
      <w:r w:rsidRPr="00B3532A">
        <w:rPr>
          <w:rFonts w:ascii="Arial" w:hAnsi="Arial" w:cs="Arial"/>
          <w:sz w:val="24"/>
          <w:szCs w:val="24"/>
        </w:rPr>
        <w:t>descerebración</w:t>
      </w:r>
      <w:r w:rsidRPr="00B3532A">
        <w:rPr>
          <w:rFonts w:ascii="Arial" w:hAnsi="Arial" w:cs="Arial"/>
          <w:sz w:val="24"/>
          <w:szCs w:val="24"/>
        </w:rPr>
        <w:t>.</w:t>
      </w:r>
    </w:p>
    <w:p w:rsidR="00B3532A" w:rsidRDefault="00B3532A" w:rsidP="00B3532A">
      <w:pPr>
        <w:jc w:val="both"/>
        <w:rPr>
          <w:rFonts w:ascii="Arial" w:hAnsi="Arial" w:cs="Arial"/>
          <w:b/>
          <w:sz w:val="24"/>
          <w:szCs w:val="24"/>
        </w:rPr>
      </w:pPr>
      <w:r w:rsidRPr="00B3532A">
        <w:rPr>
          <w:rFonts w:ascii="Arial" w:hAnsi="Arial" w:cs="Arial"/>
          <w:b/>
          <w:sz w:val="24"/>
          <w:szCs w:val="24"/>
        </w:rPr>
        <w:t>Escala de Fischer</w:t>
      </w:r>
    </w:p>
    <w:p w:rsidR="00BC375E" w:rsidRPr="00BC375E" w:rsidRDefault="00BC375E" w:rsidP="00BC375E">
      <w:pPr>
        <w:pStyle w:val="Prrafodelista"/>
        <w:numPr>
          <w:ilvl w:val="0"/>
          <w:numId w:val="4"/>
        </w:numPr>
        <w:jc w:val="both"/>
        <w:rPr>
          <w:rFonts w:ascii="Arial" w:hAnsi="Arial" w:cs="Arial"/>
          <w:sz w:val="24"/>
          <w:szCs w:val="24"/>
        </w:rPr>
      </w:pPr>
      <w:r w:rsidRPr="00BC375E">
        <w:rPr>
          <w:rFonts w:ascii="Arial" w:hAnsi="Arial" w:cs="Arial"/>
          <w:sz w:val="24"/>
          <w:szCs w:val="24"/>
        </w:rPr>
        <w:t>Grado I No sangre cisternal.</w:t>
      </w:r>
    </w:p>
    <w:p w:rsidR="00BC375E" w:rsidRPr="00BC375E" w:rsidRDefault="00BC375E" w:rsidP="00BC375E">
      <w:pPr>
        <w:pStyle w:val="Prrafodelista"/>
        <w:numPr>
          <w:ilvl w:val="0"/>
          <w:numId w:val="4"/>
        </w:numPr>
        <w:jc w:val="both"/>
        <w:rPr>
          <w:rFonts w:ascii="Arial" w:hAnsi="Arial" w:cs="Arial"/>
          <w:sz w:val="24"/>
          <w:szCs w:val="24"/>
        </w:rPr>
      </w:pPr>
      <w:r w:rsidRPr="00BC375E">
        <w:rPr>
          <w:rFonts w:ascii="Arial" w:hAnsi="Arial" w:cs="Arial"/>
          <w:sz w:val="24"/>
          <w:szCs w:val="24"/>
        </w:rPr>
        <w:t>Grado II Sangre</w:t>
      </w:r>
      <w:r w:rsidRPr="00BC375E">
        <w:rPr>
          <w:rFonts w:ascii="Arial" w:hAnsi="Arial" w:cs="Arial"/>
          <w:sz w:val="24"/>
          <w:szCs w:val="24"/>
        </w:rPr>
        <w:t xml:space="preserve"> difusa fina, &lt; </w:t>
      </w:r>
      <w:r w:rsidRPr="00BC375E">
        <w:rPr>
          <w:rFonts w:ascii="Arial" w:hAnsi="Arial" w:cs="Arial"/>
          <w:sz w:val="24"/>
          <w:szCs w:val="24"/>
        </w:rPr>
        <w:t>1mm en cisternas verticales.</w:t>
      </w:r>
    </w:p>
    <w:p w:rsidR="00B3532A" w:rsidRPr="00BC375E" w:rsidRDefault="00BC375E" w:rsidP="00BC375E">
      <w:pPr>
        <w:pStyle w:val="Prrafodelista"/>
        <w:numPr>
          <w:ilvl w:val="0"/>
          <w:numId w:val="4"/>
        </w:numPr>
        <w:jc w:val="both"/>
        <w:rPr>
          <w:rFonts w:ascii="Arial" w:hAnsi="Arial" w:cs="Arial"/>
          <w:sz w:val="24"/>
          <w:szCs w:val="24"/>
        </w:rPr>
      </w:pPr>
      <w:r w:rsidRPr="00BC375E">
        <w:rPr>
          <w:rFonts w:ascii="Arial" w:hAnsi="Arial" w:cs="Arial"/>
          <w:sz w:val="24"/>
          <w:szCs w:val="24"/>
        </w:rPr>
        <w:lastRenderedPageBreak/>
        <w:t>Grado III Coágulo grueso</w:t>
      </w:r>
      <w:r w:rsidRPr="00BC375E">
        <w:rPr>
          <w:rFonts w:ascii="Arial" w:hAnsi="Arial" w:cs="Arial"/>
          <w:sz w:val="24"/>
          <w:szCs w:val="24"/>
        </w:rPr>
        <w:t xml:space="preserve"> </w:t>
      </w:r>
      <w:r w:rsidRPr="00BC375E">
        <w:rPr>
          <w:rFonts w:ascii="Arial" w:hAnsi="Arial" w:cs="Arial"/>
          <w:sz w:val="24"/>
          <w:szCs w:val="24"/>
        </w:rPr>
        <w:t>cisternal, &gt;1mm en cisternas</w:t>
      </w:r>
      <w:r w:rsidRPr="00BC375E">
        <w:rPr>
          <w:rFonts w:ascii="Arial" w:hAnsi="Arial" w:cs="Arial"/>
          <w:sz w:val="24"/>
          <w:szCs w:val="24"/>
        </w:rPr>
        <w:t xml:space="preserve"> </w:t>
      </w:r>
      <w:r w:rsidRPr="00BC375E">
        <w:rPr>
          <w:rFonts w:ascii="Arial" w:hAnsi="Arial" w:cs="Arial"/>
          <w:sz w:val="24"/>
          <w:szCs w:val="24"/>
        </w:rPr>
        <w:t>verticales.</w:t>
      </w:r>
    </w:p>
    <w:p w:rsidR="00BC375E" w:rsidRPr="00BC375E" w:rsidRDefault="00BC375E" w:rsidP="00BC375E">
      <w:pPr>
        <w:pStyle w:val="Prrafodelista"/>
        <w:numPr>
          <w:ilvl w:val="0"/>
          <w:numId w:val="4"/>
        </w:numPr>
        <w:jc w:val="both"/>
        <w:rPr>
          <w:rFonts w:ascii="Arial" w:hAnsi="Arial" w:cs="Arial"/>
          <w:sz w:val="24"/>
          <w:szCs w:val="24"/>
        </w:rPr>
      </w:pPr>
      <w:r w:rsidRPr="00BC375E">
        <w:rPr>
          <w:rFonts w:ascii="Arial" w:hAnsi="Arial" w:cs="Arial"/>
          <w:sz w:val="24"/>
          <w:szCs w:val="24"/>
        </w:rPr>
        <w:t xml:space="preserve">Grado IV Hematoma intraparenquimatoso, hemorragia intraventricular, ± sangrado </w:t>
      </w:r>
      <w:r w:rsidRPr="00BC375E">
        <w:rPr>
          <w:rFonts w:ascii="Arial" w:hAnsi="Arial" w:cs="Arial"/>
          <w:sz w:val="24"/>
          <w:szCs w:val="24"/>
        </w:rPr>
        <w:t>difuso</w:t>
      </w:r>
      <w:r w:rsidRPr="00BC375E">
        <w:rPr>
          <w:rFonts w:ascii="Arial" w:hAnsi="Arial" w:cs="Arial"/>
          <w:sz w:val="24"/>
          <w:szCs w:val="24"/>
        </w:rPr>
        <w:t>.</w:t>
      </w:r>
    </w:p>
    <w:p w:rsidR="006A6805" w:rsidRPr="00044917" w:rsidRDefault="006A6805" w:rsidP="00B3532A">
      <w:pPr>
        <w:spacing w:line="360" w:lineRule="auto"/>
        <w:jc w:val="both"/>
        <w:rPr>
          <w:rFonts w:ascii="Arial" w:hAnsi="Arial" w:cs="Arial"/>
          <w:sz w:val="24"/>
          <w:szCs w:val="24"/>
        </w:rPr>
      </w:pPr>
    </w:p>
    <w:sectPr w:rsidR="006A6805" w:rsidRPr="000449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533"/>
    <w:multiLevelType w:val="hybridMultilevel"/>
    <w:tmpl w:val="5A642B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627B3B"/>
    <w:multiLevelType w:val="hybridMultilevel"/>
    <w:tmpl w:val="957E92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400836"/>
    <w:multiLevelType w:val="hybridMultilevel"/>
    <w:tmpl w:val="5170A6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DF2FE8"/>
    <w:multiLevelType w:val="hybridMultilevel"/>
    <w:tmpl w:val="357431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05"/>
    <w:rsid w:val="00044917"/>
    <w:rsid w:val="00405643"/>
    <w:rsid w:val="005B6D6C"/>
    <w:rsid w:val="006A6805"/>
    <w:rsid w:val="00852291"/>
    <w:rsid w:val="00B3532A"/>
    <w:rsid w:val="00BC3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8AFB"/>
  <w15:chartTrackingRefBased/>
  <w15:docId w15:val="{0D643C7D-E0F2-4D0C-9A80-D4A3D36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5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4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3</cp:revision>
  <dcterms:created xsi:type="dcterms:W3CDTF">2020-10-09T00:03:00Z</dcterms:created>
  <dcterms:modified xsi:type="dcterms:W3CDTF">2020-11-21T22:34:00Z</dcterms:modified>
</cp:coreProperties>
</file>