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02" w:rsidRDefault="00140402">
      <w:r>
        <w:rPr>
          <w:noProof/>
          <w:sz w:val="56"/>
          <w:lang w:eastAsia="es-MX"/>
        </w:rPr>
        <w:drawing>
          <wp:anchor distT="0" distB="0" distL="114300" distR="114300" simplePos="0" relativeHeight="251659264" behindDoc="0" locked="0" layoutInCell="1" allowOverlap="1" wp14:anchorId="6739DE8D" wp14:editId="321BB5AB">
            <wp:simplePos x="0" y="0"/>
            <wp:positionH relativeFrom="column">
              <wp:posOffset>-636120</wp:posOffset>
            </wp:positionH>
            <wp:positionV relativeFrom="paragraph">
              <wp:posOffset>-298</wp:posOffset>
            </wp:positionV>
            <wp:extent cx="2877185" cy="1219200"/>
            <wp:effectExtent l="0" t="0" r="0"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718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402" w:rsidRPr="00140402" w:rsidRDefault="00140402" w:rsidP="00140402"/>
    <w:p w:rsidR="00140402" w:rsidRDefault="00140402" w:rsidP="00140402"/>
    <w:p w:rsidR="00E1587B" w:rsidRDefault="00E1587B" w:rsidP="00140402">
      <w:pPr>
        <w:ind w:firstLine="708"/>
      </w:pPr>
    </w:p>
    <w:p w:rsidR="00140402" w:rsidRDefault="00140402" w:rsidP="00140402">
      <w:pPr>
        <w:ind w:firstLine="708"/>
      </w:pPr>
    </w:p>
    <w:p w:rsidR="00140402" w:rsidRDefault="00140402" w:rsidP="00140402">
      <w:pPr>
        <w:ind w:firstLine="708"/>
      </w:pPr>
    </w:p>
    <w:p w:rsidR="00140402" w:rsidRPr="00860DF0" w:rsidRDefault="00140402" w:rsidP="00140402">
      <w:pPr>
        <w:spacing w:line="240" w:lineRule="auto"/>
        <w:rPr>
          <w:rFonts w:ascii="Century Gothic" w:hAnsi="Century Gothic"/>
          <w:b/>
          <w:color w:val="1F4E79" w:themeColor="accent5" w:themeShade="80"/>
          <w:sz w:val="32"/>
          <w:szCs w:val="32"/>
        </w:rPr>
      </w:pPr>
      <w:r w:rsidRPr="00860DF0">
        <w:rPr>
          <w:rFonts w:ascii="Century Gothic" w:hAnsi="Century Gothic"/>
          <w:b/>
          <w:color w:val="1F4E79" w:themeColor="accent5" w:themeShade="80"/>
          <w:sz w:val="32"/>
          <w:szCs w:val="32"/>
        </w:rPr>
        <w:t>Nombre de la alumna: Cruz Pérez Irene</w:t>
      </w:r>
    </w:p>
    <w:p w:rsidR="00140402" w:rsidRPr="00860DF0" w:rsidRDefault="00140402" w:rsidP="00140402">
      <w:pPr>
        <w:spacing w:line="240" w:lineRule="auto"/>
        <w:rPr>
          <w:rFonts w:ascii="Century Gothic" w:hAnsi="Century Gothic"/>
          <w:b/>
          <w:color w:val="1F4E79" w:themeColor="accent5" w:themeShade="80"/>
          <w:sz w:val="32"/>
          <w:szCs w:val="32"/>
        </w:rPr>
      </w:pPr>
    </w:p>
    <w:p w:rsidR="00140402" w:rsidRPr="00860DF0" w:rsidRDefault="007005D7" w:rsidP="00140402">
      <w:pPr>
        <w:spacing w:line="240" w:lineRule="auto"/>
        <w:rPr>
          <w:rFonts w:ascii="Century Gothic" w:hAnsi="Century Gothic"/>
          <w:b/>
          <w:color w:val="1F4E79" w:themeColor="accent5" w:themeShade="80"/>
          <w:sz w:val="32"/>
          <w:szCs w:val="32"/>
        </w:rPr>
      </w:pPr>
      <w:r>
        <w:rPr>
          <w:rFonts w:ascii="Century Gothic" w:hAnsi="Century Gothic"/>
          <w:b/>
          <w:color w:val="1F4E79" w:themeColor="accent5" w:themeShade="80"/>
          <w:sz w:val="32"/>
          <w:szCs w:val="32"/>
        </w:rPr>
        <w:t>Nombre del profesor: Méndez López Alejandro de Jesús</w:t>
      </w:r>
    </w:p>
    <w:p w:rsidR="00140402" w:rsidRPr="00F421C3" w:rsidRDefault="00140402" w:rsidP="00140402">
      <w:pPr>
        <w:spacing w:line="240" w:lineRule="auto"/>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3A6D0193" wp14:editId="02E23C39">
            <wp:simplePos x="0" y="0"/>
            <wp:positionH relativeFrom="column">
              <wp:posOffset>-285166</wp:posOffset>
            </wp:positionH>
            <wp:positionV relativeFrom="paragraph">
              <wp:posOffset>133350</wp:posOffset>
            </wp:positionV>
            <wp:extent cx="5610225" cy="2100580"/>
            <wp:effectExtent l="0" t="0" r="9525" b="0"/>
            <wp:wrapNone/>
            <wp:docPr id="20" name="Imagen 20"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402" w:rsidRPr="00860DF0" w:rsidRDefault="00140402" w:rsidP="00140402">
      <w:pPr>
        <w:spacing w:line="240" w:lineRule="auto"/>
        <w:rPr>
          <w:rFonts w:ascii="Century Gothic" w:hAnsi="Century Gothic"/>
          <w:b/>
          <w:color w:val="1F4E79" w:themeColor="accent5" w:themeShade="80"/>
          <w:sz w:val="32"/>
          <w:szCs w:val="32"/>
        </w:rPr>
      </w:pPr>
      <w:r w:rsidRPr="00860DF0">
        <w:rPr>
          <w:rFonts w:ascii="Century Gothic" w:hAnsi="Century Gothic"/>
          <w:b/>
          <w:color w:val="1F4E79" w:themeColor="accent5" w:themeShade="80"/>
          <w:sz w:val="32"/>
          <w:szCs w:val="32"/>
        </w:rPr>
        <w:t xml:space="preserve">Nombre del trabajo: </w:t>
      </w:r>
      <w:r w:rsidR="007005D7">
        <w:rPr>
          <w:rFonts w:ascii="Century Gothic" w:hAnsi="Century Gothic"/>
          <w:b/>
          <w:color w:val="1F4E79" w:themeColor="accent5" w:themeShade="80"/>
          <w:sz w:val="32"/>
          <w:szCs w:val="32"/>
        </w:rPr>
        <w:t>Primera parte del capítulo II Tesis</w:t>
      </w:r>
    </w:p>
    <w:p w:rsidR="00140402" w:rsidRPr="00860DF0" w:rsidRDefault="00140402" w:rsidP="00140402">
      <w:pPr>
        <w:spacing w:line="240" w:lineRule="auto"/>
        <w:rPr>
          <w:rFonts w:ascii="Century Gothic" w:hAnsi="Century Gothic"/>
          <w:b/>
          <w:color w:val="1F4E79" w:themeColor="accent5" w:themeShade="80"/>
          <w:sz w:val="32"/>
          <w:szCs w:val="32"/>
        </w:rPr>
      </w:pPr>
    </w:p>
    <w:p w:rsidR="00140402" w:rsidRPr="00860DF0" w:rsidRDefault="00140402" w:rsidP="00140402">
      <w:pPr>
        <w:spacing w:line="240" w:lineRule="auto"/>
        <w:rPr>
          <w:rFonts w:ascii="Century Gothic" w:hAnsi="Century Gothic"/>
          <w:b/>
          <w:color w:val="1F4E79" w:themeColor="accent5" w:themeShade="80"/>
          <w:sz w:val="32"/>
          <w:szCs w:val="32"/>
        </w:rPr>
      </w:pPr>
      <w:r w:rsidRPr="00860DF0">
        <w:rPr>
          <w:rFonts w:ascii="Century Gothic" w:hAnsi="Century Gothic"/>
          <w:b/>
          <w:color w:val="1F4E79" w:themeColor="accent5" w:themeShade="80"/>
          <w:sz w:val="32"/>
          <w:szCs w:val="32"/>
        </w:rPr>
        <w:t>Materia:</w:t>
      </w:r>
      <w:r>
        <w:rPr>
          <w:rFonts w:ascii="Century Gothic" w:hAnsi="Century Gothic"/>
          <w:b/>
          <w:color w:val="1F4E79" w:themeColor="accent5" w:themeShade="80"/>
          <w:sz w:val="32"/>
          <w:szCs w:val="32"/>
        </w:rPr>
        <w:t xml:space="preserve"> </w:t>
      </w:r>
      <w:r w:rsidR="007005D7">
        <w:rPr>
          <w:rFonts w:ascii="Century Gothic" w:hAnsi="Century Gothic"/>
          <w:b/>
          <w:color w:val="1F4E79" w:themeColor="accent5" w:themeShade="80"/>
          <w:sz w:val="32"/>
          <w:szCs w:val="32"/>
        </w:rPr>
        <w:t>Taller de elaboración de Tesis</w:t>
      </w:r>
    </w:p>
    <w:p w:rsidR="00140402" w:rsidRPr="00860DF0" w:rsidRDefault="00140402" w:rsidP="00140402">
      <w:pPr>
        <w:spacing w:line="240" w:lineRule="auto"/>
        <w:rPr>
          <w:rFonts w:ascii="Century Gothic" w:hAnsi="Century Gothic"/>
          <w:b/>
          <w:color w:val="1F4E79" w:themeColor="accent5" w:themeShade="80"/>
          <w:sz w:val="32"/>
          <w:szCs w:val="32"/>
        </w:rPr>
      </w:pPr>
    </w:p>
    <w:p w:rsidR="00140402" w:rsidRPr="00860DF0" w:rsidRDefault="00140402" w:rsidP="00140402">
      <w:pPr>
        <w:spacing w:line="240" w:lineRule="auto"/>
        <w:rPr>
          <w:rFonts w:ascii="Century Gothic" w:hAnsi="Century Gothic"/>
          <w:b/>
          <w:color w:val="1F4E79" w:themeColor="accent5" w:themeShade="80"/>
          <w:sz w:val="32"/>
          <w:szCs w:val="32"/>
        </w:rPr>
      </w:pPr>
      <w:r w:rsidRPr="00860DF0">
        <w:rPr>
          <w:rFonts w:ascii="Century Gothic" w:hAnsi="Century Gothic"/>
          <w:b/>
          <w:color w:val="1F4E79" w:themeColor="accent5" w:themeShade="80"/>
          <w:sz w:val="32"/>
          <w:szCs w:val="32"/>
        </w:rPr>
        <w:t xml:space="preserve">Grado: 9no cuatrimestre </w:t>
      </w:r>
    </w:p>
    <w:p w:rsidR="00140402" w:rsidRPr="00860DF0" w:rsidRDefault="00140402" w:rsidP="00140402">
      <w:pPr>
        <w:spacing w:line="240" w:lineRule="auto"/>
        <w:rPr>
          <w:rFonts w:ascii="Century Gothic" w:hAnsi="Century Gothic"/>
          <w:b/>
          <w:color w:val="1F4E79" w:themeColor="accent5" w:themeShade="80"/>
          <w:sz w:val="32"/>
          <w:szCs w:val="32"/>
        </w:rPr>
      </w:pPr>
    </w:p>
    <w:p w:rsidR="00140402" w:rsidRPr="00860DF0" w:rsidRDefault="00140402" w:rsidP="00140402">
      <w:pPr>
        <w:spacing w:line="240" w:lineRule="auto"/>
        <w:rPr>
          <w:rFonts w:ascii="Century Gothic" w:hAnsi="Century Gothic"/>
          <w:b/>
          <w:color w:val="1F4E79" w:themeColor="accent5" w:themeShade="80"/>
          <w:sz w:val="32"/>
          <w:szCs w:val="32"/>
        </w:rPr>
      </w:pPr>
      <w:r w:rsidRPr="00860DF0">
        <w:rPr>
          <w:rFonts w:ascii="Century Gothic" w:hAnsi="Century Gothic"/>
          <w:b/>
          <w:color w:val="1F4E79" w:themeColor="accent5" w:themeShade="80"/>
          <w:sz w:val="32"/>
          <w:szCs w:val="32"/>
        </w:rPr>
        <w:t>Grupo: A semiescolarizado</w:t>
      </w:r>
    </w:p>
    <w:p w:rsidR="00140402" w:rsidRPr="00860DF0" w:rsidRDefault="00140402" w:rsidP="00140402">
      <w:pPr>
        <w:spacing w:line="240" w:lineRule="auto"/>
        <w:rPr>
          <w:rFonts w:ascii="Century Gothic" w:hAnsi="Century Gothic"/>
          <w:b/>
          <w:color w:val="1F4E79" w:themeColor="accent5" w:themeShade="80"/>
          <w:sz w:val="32"/>
          <w:szCs w:val="32"/>
        </w:rPr>
      </w:pPr>
    </w:p>
    <w:p w:rsidR="00140402" w:rsidRPr="00860DF0" w:rsidRDefault="00140402" w:rsidP="00140402">
      <w:pPr>
        <w:spacing w:line="240" w:lineRule="auto"/>
        <w:rPr>
          <w:rFonts w:ascii="Century Gothic" w:hAnsi="Century Gothic"/>
          <w:b/>
          <w:color w:val="1F4E79" w:themeColor="accent5" w:themeShade="80"/>
          <w:sz w:val="32"/>
          <w:szCs w:val="32"/>
        </w:rPr>
      </w:pPr>
      <w:r w:rsidRPr="00860DF0">
        <w:rPr>
          <w:rFonts w:ascii="Century Gothic" w:hAnsi="Century Gothic"/>
          <w:b/>
          <w:color w:val="1F4E79" w:themeColor="accent5" w:themeShade="80"/>
          <w:sz w:val="32"/>
          <w:szCs w:val="32"/>
        </w:rPr>
        <w:t>Carrera: Lic. En contaduría</w:t>
      </w:r>
    </w:p>
    <w:p w:rsidR="00140402" w:rsidRPr="00F421C3" w:rsidRDefault="00140402" w:rsidP="00140402">
      <w:pPr>
        <w:spacing w:line="240" w:lineRule="auto"/>
        <w:rPr>
          <w:rFonts w:ascii="Century Gothic" w:hAnsi="Century Gothic"/>
          <w:color w:val="1F4E79" w:themeColor="accent5" w:themeShade="80"/>
        </w:rPr>
      </w:pPr>
    </w:p>
    <w:p w:rsidR="00140402" w:rsidRPr="00F421C3" w:rsidRDefault="00140402" w:rsidP="00140402">
      <w:pPr>
        <w:jc w:val="right"/>
        <w:rPr>
          <w:rFonts w:ascii="Century Gothic" w:hAnsi="Century Gothic"/>
          <w:color w:val="1F4E79" w:themeColor="accent5" w:themeShade="80"/>
        </w:rPr>
      </w:pPr>
    </w:p>
    <w:p w:rsidR="00140402" w:rsidRDefault="00140402" w:rsidP="00140402">
      <w:pPr>
        <w:jc w:val="right"/>
        <w:rPr>
          <w:rFonts w:ascii="Century Gothic" w:hAnsi="Century Gothic"/>
          <w:color w:val="1F4E79" w:themeColor="accent5" w:themeShade="80"/>
        </w:rPr>
      </w:pPr>
      <w:r w:rsidRPr="00F421C3">
        <w:rPr>
          <w:rFonts w:ascii="Century Gothic" w:hAnsi="Century Gothic"/>
          <w:color w:val="1F4E79" w:themeColor="accent5" w:themeShade="80"/>
        </w:rPr>
        <w:t>C</w:t>
      </w:r>
      <w:r w:rsidR="007005D7">
        <w:rPr>
          <w:rFonts w:ascii="Century Gothic" w:hAnsi="Century Gothic"/>
          <w:color w:val="1F4E79" w:themeColor="accent5" w:themeShade="80"/>
        </w:rPr>
        <w:t>omitán de Domínguez Chiapas a 29</w:t>
      </w:r>
      <w:r>
        <w:rPr>
          <w:rFonts w:ascii="Century Gothic" w:hAnsi="Century Gothic"/>
          <w:color w:val="1F4E79" w:themeColor="accent5" w:themeShade="80"/>
        </w:rPr>
        <w:t xml:space="preserve"> de mayo de 2020</w:t>
      </w:r>
      <w:r w:rsidRPr="00F421C3">
        <w:rPr>
          <w:rFonts w:ascii="Century Gothic" w:hAnsi="Century Gothic"/>
          <w:color w:val="1F4E79" w:themeColor="accent5" w:themeShade="80"/>
        </w:rPr>
        <w:t>.</w:t>
      </w:r>
    </w:p>
    <w:p w:rsidR="00895E5E" w:rsidRDefault="00895E5E" w:rsidP="00140402">
      <w:pPr>
        <w:jc w:val="right"/>
        <w:rPr>
          <w:rFonts w:ascii="Century Gothic" w:hAnsi="Century Gothic"/>
          <w:color w:val="1F4E79" w:themeColor="accent5" w:themeShade="80"/>
        </w:rPr>
      </w:pPr>
    </w:p>
    <w:p w:rsidR="00895E5E" w:rsidRDefault="00895E5E" w:rsidP="00140402">
      <w:pPr>
        <w:jc w:val="right"/>
        <w:rPr>
          <w:rFonts w:ascii="Century Gothic" w:hAnsi="Century Gothic"/>
          <w:color w:val="1F4E79" w:themeColor="accent5" w:themeShade="80"/>
        </w:rPr>
      </w:pPr>
    </w:p>
    <w:p w:rsidR="00140402" w:rsidRDefault="00895E5E" w:rsidP="00140402">
      <w:pPr>
        <w:jc w:val="right"/>
        <w:rPr>
          <w:rFonts w:ascii="Century Gothic" w:hAnsi="Century Gothic"/>
          <w:color w:val="1F4E79" w:themeColor="accent5" w:themeShade="80"/>
        </w:rPr>
      </w:pPr>
      <w:r w:rsidRPr="00F421C3">
        <w:rPr>
          <w:rFonts w:ascii="Century Gothic" w:hAnsi="Century Gothic"/>
          <w:noProof/>
          <w:color w:val="1F4E79" w:themeColor="accent5" w:themeShade="80"/>
          <w:lang w:eastAsia="es-MX"/>
        </w:rPr>
        <w:drawing>
          <wp:anchor distT="0" distB="0" distL="114300" distR="114300" simplePos="0" relativeHeight="251663360" behindDoc="1" locked="0" layoutInCell="1" allowOverlap="1" wp14:anchorId="0372DF88" wp14:editId="68F61E53">
            <wp:simplePos x="0" y="0"/>
            <wp:positionH relativeFrom="page">
              <wp:align>left</wp:align>
            </wp:positionH>
            <wp:positionV relativeFrom="paragraph">
              <wp:posOffset>859230</wp:posOffset>
            </wp:positionV>
            <wp:extent cx="7745506" cy="469265"/>
            <wp:effectExtent l="0" t="0" r="8255" b="6985"/>
            <wp:wrapNone/>
            <wp:docPr id="21" name="Imagen 21"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5506"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F60" w:rsidRPr="002841B2" w:rsidRDefault="00087F60" w:rsidP="00FD6A01">
      <w:pPr>
        <w:spacing w:line="360" w:lineRule="auto"/>
        <w:rPr>
          <w:rFonts w:ascii="Gill Sans MT" w:hAnsi="Gill Sans MT"/>
          <w:sz w:val="28"/>
          <w:szCs w:val="28"/>
        </w:rPr>
      </w:pPr>
      <w:r w:rsidRPr="002841B2">
        <w:rPr>
          <w:rFonts w:ascii="Gill Sans MT" w:hAnsi="Gill Sans MT"/>
          <w:sz w:val="28"/>
          <w:szCs w:val="28"/>
        </w:rPr>
        <w:lastRenderedPageBreak/>
        <w:t>ANTECEDENTES.</w:t>
      </w:r>
    </w:p>
    <w:p w:rsidR="00140402" w:rsidRPr="002841B2" w:rsidRDefault="002132B0" w:rsidP="00FD6A01">
      <w:pPr>
        <w:spacing w:line="360" w:lineRule="auto"/>
        <w:rPr>
          <w:rFonts w:ascii="Gill Sans MT" w:hAnsi="Gill Sans MT"/>
          <w:sz w:val="28"/>
          <w:szCs w:val="28"/>
        </w:rPr>
      </w:pPr>
      <w:r w:rsidRPr="002841B2">
        <w:rPr>
          <w:rFonts w:ascii="Gill Sans MT" w:hAnsi="Gill Sans MT"/>
          <w:sz w:val="28"/>
          <w:szCs w:val="28"/>
        </w:rPr>
        <w:t>ORIGEN Y EVOLUCION DE LAS DEDUCCIONES</w:t>
      </w:r>
      <w:r w:rsidR="00087F60" w:rsidRPr="002841B2">
        <w:rPr>
          <w:rFonts w:ascii="Gill Sans MT" w:hAnsi="Gill Sans MT"/>
          <w:sz w:val="28"/>
          <w:szCs w:val="28"/>
        </w:rPr>
        <w:t xml:space="preserve"> FISCALES</w:t>
      </w:r>
      <w:r w:rsidRPr="002841B2">
        <w:rPr>
          <w:rFonts w:ascii="Gill Sans MT" w:hAnsi="Gill Sans MT"/>
          <w:sz w:val="28"/>
          <w:szCs w:val="28"/>
        </w:rPr>
        <w:t xml:space="preserve"> AUTORIZADAS PARA PERSONA FISICA BAJO EL REGIN DE HONORARIOS</w:t>
      </w:r>
      <w:r w:rsidR="00087F60" w:rsidRPr="002841B2">
        <w:rPr>
          <w:rFonts w:ascii="Gill Sans MT" w:hAnsi="Gill Sans MT"/>
          <w:sz w:val="28"/>
          <w:szCs w:val="28"/>
        </w:rPr>
        <w:t>.</w:t>
      </w:r>
    </w:p>
    <w:p w:rsidR="00087F60" w:rsidRPr="002841B2" w:rsidRDefault="00087F60" w:rsidP="00FD6A01">
      <w:pPr>
        <w:spacing w:line="360" w:lineRule="auto"/>
        <w:rPr>
          <w:rFonts w:ascii="Gill Sans MT" w:hAnsi="Gill Sans MT"/>
          <w:sz w:val="24"/>
          <w:szCs w:val="24"/>
        </w:rPr>
      </w:pPr>
    </w:p>
    <w:p w:rsidR="00182BF1" w:rsidRDefault="00087F60" w:rsidP="00FD6A01">
      <w:pPr>
        <w:spacing w:line="360" w:lineRule="auto"/>
        <w:rPr>
          <w:rFonts w:ascii="Gill Sans MT" w:hAnsi="Gill Sans MT"/>
          <w:sz w:val="24"/>
          <w:szCs w:val="24"/>
        </w:rPr>
      </w:pPr>
      <w:r w:rsidRPr="002841B2">
        <w:rPr>
          <w:rFonts w:ascii="Gill Sans MT" w:hAnsi="Gill Sans MT"/>
          <w:sz w:val="24"/>
          <w:szCs w:val="24"/>
        </w:rPr>
        <w:t xml:space="preserve">Es importante saber porque la aparición de las deducciones autorizadas como es que las autoridades dieron </w:t>
      </w:r>
      <w:r w:rsidR="002D4FE7" w:rsidRPr="002841B2">
        <w:rPr>
          <w:rFonts w:ascii="Gill Sans MT" w:hAnsi="Gill Sans MT"/>
          <w:sz w:val="24"/>
          <w:szCs w:val="24"/>
        </w:rPr>
        <w:t>hincapié</w:t>
      </w:r>
      <w:r w:rsidRPr="002841B2">
        <w:rPr>
          <w:rFonts w:ascii="Gill Sans MT" w:hAnsi="Gill Sans MT"/>
          <w:sz w:val="24"/>
          <w:szCs w:val="24"/>
        </w:rPr>
        <w:t xml:space="preserve"> en esa parte de la contabilidad</w:t>
      </w:r>
      <w:r w:rsidR="00C90DAF" w:rsidRPr="002841B2">
        <w:rPr>
          <w:rFonts w:ascii="Gill Sans MT" w:hAnsi="Gill Sans MT"/>
          <w:sz w:val="24"/>
          <w:szCs w:val="24"/>
        </w:rPr>
        <w:t>,</w:t>
      </w:r>
      <w:r w:rsidRPr="002841B2">
        <w:rPr>
          <w:rFonts w:ascii="Gill Sans MT" w:hAnsi="Gill Sans MT"/>
          <w:sz w:val="24"/>
          <w:szCs w:val="24"/>
        </w:rPr>
        <w:t xml:space="preserve"> o </w:t>
      </w:r>
      <w:r w:rsidR="00C90DAF" w:rsidRPr="002841B2">
        <w:rPr>
          <w:rFonts w:ascii="Gill Sans MT" w:hAnsi="Gill Sans MT"/>
          <w:sz w:val="24"/>
          <w:szCs w:val="24"/>
        </w:rPr>
        <w:t>más</w:t>
      </w:r>
      <w:r w:rsidRPr="002841B2">
        <w:rPr>
          <w:rFonts w:ascii="Gill Sans MT" w:hAnsi="Gill Sans MT"/>
          <w:sz w:val="24"/>
          <w:szCs w:val="24"/>
        </w:rPr>
        <w:t xml:space="preserve"> bien </w:t>
      </w:r>
      <w:r w:rsidR="00C90DAF" w:rsidRPr="002841B2">
        <w:rPr>
          <w:rFonts w:ascii="Gill Sans MT" w:hAnsi="Gill Sans MT"/>
          <w:sz w:val="24"/>
          <w:szCs w:val="24"/>
        </w:rPr>
        <w:t>cómo</w:t>
      </w:r>
      <w:r w:rsidRPr="002841B2">
        <w:rPr>
          <w:rFonts w:ascii="Gill Sans MT" w:hAnsi="Gill Sans MT"/>
          <w:sz w:val="24"/>
          <w:szCs w:val="24"/>
        </w:rPr>
        <w:t xml:space="preserve"> es que fue </w:t>
      </w:r>
      <w:r w:rsidR="00C90DAF" w:rsidRPr="002841B2">
        <w:rPr>
          <w:rFonts w:ascii="Gill Sans MT" w:hAnsi="Gill Sans MT"/>
          <w:sz w:val="24"/>
          <w:szCs w:val="24"/>
        </w:rPr>
        <w:t>que las personas que desempeña</w:t>
      </w:r>
      <w:r w:rsidRPr="002841B2">
        <w:rPr>
          <w:rFonts w:ascii="Gill Sans MT" w:hAnsi="Gill Sans MT"/>
          <w:sz w:val="24"/>
          <w:szCs w:val="24"/>
        </w:rPr>
        <w:t xml:space="preserve">n una profesión se sintieron con la necesidad </w:t>
      </w:r>
      <w:r w:rsidR="00C90DAF" w:rsidRPr="002841B2">
        <w:rPr>
          <w:rFonts w:ascii="Gill Sans MT" w:hAnsi="Gill Sans MT"/>
          <w:sz w:val="24"/>
          <w:szCs w:val="24"/>
        </w:rPr>
        <w:t>de buscar un reembolso a consecuencia de todos los impuestos que tienen que pagar</w:t>
      </w:r>
      <w:r w:rsidR="007219D8" w:rsidRPr="002841B2">
        <w:rPr>
          <w:rFonts w:ascii="Gill Sans MT" w:hAnsi="Gill Sans MT"/>
          <w:sz w:val="24"/>
          <w:szCs w:val="24"/>
        </w:rPr>
        <w:t>.</w:t>
      </w:r>
    </w:p>
    <w:p w:rsidR="00894F2D" w:rsidRDefault="00B27BE8" w:rsidP="00FD6A01">
      <w:pPr>
        <w:spacing w:line="360" w:lineRule="auto"/>
        <w:rPr>
          <w:rFonts w:ascii="Gill Sans MT" w:hAnsi="Gill Sans MT"/>
          <w:sz w:val="24"/>
          <w:szCs w:val="24"/>
        </w:rPr>
      </w:pPr>
      <w:r>
        <w:rPr>
          <w:rFonts w:ascii="Gill Sans MT" w:hAnsi="Gill Sans MT"/>
          <w:sz w:val="24"/>
          <w:szCs w:val="24"/>
        </w:rPr>
        <w:t>Se conoce como el padre de la contabilidad por ser precursor de</w:t>
      </w:r>
      <w:r w:rsidR="00064C4B">
        <w:rPr>
          <w:rFonts w:ascii="Gill Sans MT" w:hAnsi="Gill Sans MT"/>
          <w:sz w:val="24"/>
          <w:szCs w:val="24"/>
        </w:rPr>
        <w:t xml:space="preserve"> la probabilidad</w:t>
      </w:r>
      <w:r>
        <w:rPr>
          <w:rFonts w:ascii="Gill Sans MT" w:hAnsi="Gill Sans MT"/>
          <w:sz w:val="24"/>
          <w:szCs w:val="24"/>
        </w:rPr>
        <w:t xml:space="preserve"> y además es el primero en organizar y sistematizar los procesos contables.</w:t>
      </w:r>
    </w:p>
    <w:p w:rsidR="00B27BE8" w:rsidRDefault="00B27BE8" w:rsidP="00FD6A01">
      <w:pPr>
        <w:spacing w:line="360" w:lineRule="auto"/>
        <w:rPr>
          <w:rFonts w:ascii="Gill Sans MT" w:hAnsi="Gill Sans MT"/>
          <w:sz w:val="24"/>
          <w:szCs w:val="24"/>
        </w:rPr>
      </w:pPr>
      <w:r>
        <w:rPr>
          <w:rFonts w:ascii="Gill Sans MT" w:hAnsi="Gill Sans MT"/>
          <w:sz w:val="24"/>
          <w:szCs w:val="24"/>
        </w:rPr>
        <w:t xml:space="preserve">Hizo un tratado de 36 capítulos llamado la partida doble, que se basaba en todos los principios de la contabilidad moderna tal como se conoce hoy. En su obra se logra destacar cuatro libros fundamentales para la contabilidad, inventario y balance, borrador o </w:t>
      </w:r>
      <w:bookmarkStart w:id="0" w:name="_GoBack"/>
      <w:bookmarkEnd w:id="0"/>
      <w:r>
        <w:rPr>
          <w:rFonts w:ascii="Gill Sans MT" w:hAnsi="Gill Sans MT"/>
          <w:sz w:val="24"/>
          <w:szCs w:val="24"/>
        </w:rPr>
        <w:t xml:space="preserve">comprobante, diario y mayor. </w:t>
      </w:r>
      <w:sdt>
        <w:sdtPr>
          <w:rPr>
            <w:rFonts w:ascii="Gill Sans MT" w:hAnsi="Gill Sans MT"/>
            <w:sz w:val="24"/>
            <w:szCs w:val="24"/>
          </w:rPr>
          <w:id w:val="385304945"/>
          <w:citation/>
        </w:sdtPr>
        <w:sdtEndPr/>
        <w:sdtContent>
          <w:r w:rsidR="00455077">
            <w:rPr>
              <w:rFonts w:ascii="Gill Sans MT" w:hAnsi="Gill Sans MT"/>
              <w:sz w:val="24"/>
              <w:szCs w:val="24"/>
            </w:rPr>
            <w:fldChar w:fldCharType="begin"/>
          </w:r>
          <w:r w:rsidR="00455077">
            <w:rPr>
              <w:rFonts w:ascii="Gill Sans MT" w:hAnsi="Gill Sans MT"/>
              <w:sz w:val="24"/>
              <w:szCs w:val="24"/>
            </w:rPr>
            <w:instrText xml:space="preserve">CITATION FRA \l 2058 </w:instrText>
          </w:r>
          <w:r w:rsidR="00455077">
            <w:rPr>
              <w:rFonts w:ascii="Gill Sans MT" w:hAnsi="Gill Sans MT"/>
              <w:sz w:val="24"/>
              <w:szCs w:val="24"/>
            </w:rPr>
            <w:fldChar w:fldCharType="separate"/>
          </w:r>
          <w:r w:rsidR="00455077" w:rsidRPr="00455077">
            <w:rPr>
              <w:rFonts w:ascii="Gill Sans MT" w:hAnsi="Gill Sans MT"/>
              <w:noProof/>
              <w:sz w:val="24"/>
              <w:szCs w:val="24"/>
            </w:rPr>
            <w:t>(Pecioli)</w:t>
          </w:r>
          <w:r w:rsidR="00455077">
            <w:rPr>
              <w:rFonts w:ascii="Gill Sans MT" w:hAnsi="Gill Sans MT"/>
              <w:sz w:val="24"/>
              <w:szCs w:val="24"/>
            </w:rPr>
            <w:fldChar w:fldCharType="end"/>
          </w:r>
        </w:sdtContent>
      </w:sdt>
      <w:r w:rsidR="00455077" w:rsidRPr="00455077">
        <w:rPr>
          <w:rFonts w:ascii="Gill Sans MT" w:hAnsi="Gill Sans MT"/>
          <w:sz w:val="24"/>
          <w:szCs w:val="24"/>
        </w:rPr>
        <w:t>.</w:t>
      </w:r>
    </w:p>
    <w:p w:rsidR="00064C4B" w:rsidRPr="007005D7" w:rsidRDefault="00EC4905" w:rsidP="00FD6A01">
      <w:pPr>
        <w:spacing w:line="360" w:lineRule="auto"/>
        <w:rPr>
          <w:rFonts w:ascii="Gill Sans MT" w:hAnsi="Gill Sans MT"/>
          <w:sz w:val="28"/>
          <w:szCs w:val="28"/>
        </w:rPr>
      </w:pPr>
      <w:r w:rsidRPr="007005D7">
        <w:rPr>
          <w:rFonts w:ascii="Gill Sans MT" w:hAnsi="Gill Sans MT"/>
          <w:sz w:val="28"/>
          <w:szCs w:val="28"/>
        </w:rPr>
        <w:t>ANTECEDENTES DE LA CONTABILIDAD</w:t>
      </w:r>
    </w:p>
    <w:p w:rsidR="00182BF1" w:rsidRPr="002841B2" w:rsidRDefault="00D5459D" w:rsidP="00FD6A01">
      <w:pPr>
        <w:spacing w:line="360" w:lineRule="auto"/>
        <w:rPr>
          <w:rFonts w:ascii="Gill Sans MT" w:hAnsi="Gill Sans MT"/>
          <w:sz w:val="24"/>
          <w:szCs w:val="24"/>
        </w:rPr>
      </w:pPr>
      <w:r w:rsidRPr="002841B2">
        <w:rPr>
          <w:rFonts w:ascii="Gill Sans MT" w:hAnsi="Gill Sans MT"/>
          <w:sz w:val="24"/>
          <w:szCs w:val="24"/>
        </w:rPr>
        <w:t>La contabilidad transita por la huella histórica del comercio y la industria, se estructura con forme a la evolución del crédito, la banca, la maquinización, las operaciones mercantiles, las comunicaciones electrónicas, se liga a los fenómenos económicos y a las innovaciones en los sistemas financieros, incluso a los cambios de la conceptualización de la sociedad.</w:t>
      </w:r>
    </w:p>
    <w:p w:rsidR="00BA09B6" w:rsidRPr="002841B2" w:rsidRDefault="00D5459D" w:rsidP="00FD6A01">
      <w:pPr>
        <w:spacing w:line="360" w:lineRule="auto"/>
        <w:rPr>
          <w:rFonts w:ascii="Gill Sans MT" w:hAnsi="Gill Sans MT"/>
          <w:sz w:val="24"/>
          <w:szCs w:val="24"/>
        </w:rPr>
      </w:pPr>
      <w:r w:rsidRPr="002841B2">
        <w:rPr>
          <w:rFonts w:ascii="Gill Sans MT" w:hAnsi="Gill Sans MT"/>
          <w:sz w:val="24"/>
          <w:szCs w:val="24"/>
        </w:rPr>
        <w:t>En el estado actual</w:t>
      </w:r>
      <w:r w:rsidR="00E80F49" w:rsidRPr="002841B2">
        <w:rPr>
          <w:rFonts w:ascii="Gill Sans MT" w:hAnsi="Gill Sans MT"/>
          <w:sz w:val="24"/>
          <w:szCs w:val="24"/>
        </w:rPr>
        <w:t xml:space="preserve"> del conocimiento se</w:t>
      </w:r>
      <w:r w:rsidRPr="002841B2">
        <w:rPr>
          <w:rFonts w:ascii="Gill Sans MT" w:hAnsi="Gill Sans MT"/>
          <w:sz w:val="24"/>
          <w:szCs w:val="24"/>
        </w:rPr>
        <w:t xml:space="preserve"> tiene la certeza</w:t>
      </w:r>
      <w:r w:rsidR="00E80F49" w:rsidRPr="002841B2">
        <w:rPr>
          <w:rFonts w:ascii="Gill Sans MT" w:hAnsi="Gill Sans MT"/>
          <w:sz w:val="24"/>
          <w:szCs w:val="24"/>
        </w:rPr>
        <w:t xml:space="preserve"> de que la practica contable por la partida simple como actividad generalizada era un hecho seis mil años A.C tanto en Egipto como en Mesopotamia y que en los primeros vestigios de actividad bancaria se </w:t>
      </w:r>
      <w:r w:rsidR="00BA09B6" w:rsidRPr="002841B2">
        <w:rPr>
          <w:rFonts w:ascii="Gill Sans MT" w:hAnsi="Gill Sans MT"/>
          <w:sz w:val="24"/>
          <w:szCs w:val="24"/>
        </w:rPr>
        <w:t>sitúa</w:t>
      </w:r>
      <w:r w:rsidR="00E80F49" w:rsidRPr="002841B2">
        <w:rPr>
          <w:rFonts w:ascii="Gill Sans MT" w:hAnsi="Gill Sans MT"/>
          <w:sz w:val="24"/>
          <w:szCs w:val="24"/>
        </w:rPr>
        <w:t xml:space="preserve"> entre los 5,400 y los 3,200 años A.C. En el templo rojo de babilonia</w:t>
      </w:r>
      <w:r w:rsidR="00BA09B6" w:rsidRPr="002841B2">
        <w:rPr>
          <w:rFonts w:ascii="Gill Sans MT" w:hAnsi="Gill Sans MT"/>
          <w:sz w:val="24"/>
          <w:szCs w:val="24"/>
        </w:rPr>
        <w:t>.</w:t>
      </w:r>
    </w:p>
    <w:p w:rsidR="00D5459D" w:rsidRPr="002841B2" w:rsidRDefault="00BA09B6" w:rsidP="00FD6A01">
      <w:pPr>
        <w:spacing w:line="360" w:lineRule="auto"/>
        <w:rPr>
          <w:rFonts w:ascii="Gill Sans MT" w:hAnsi="Gill Sans MT"/>
          <w:sz w:val="24"/>
          <w:szCs w:val="24"/>
        </w:rPr>
      </w:pPr>
      <w:r w:rsidRPr="002841B2">
        <w:rPr>
          <w:rFonts w:ascii="Gill Sans MT" w:hAnsi="Gill Sans MT"/>
          <w:sz w:val="24"/>
          <w:szCs w:val="24"/>
        </w:rPr>
        <w:t xml:space="preserve">La contabilidad en roma mediante sus primeros tiempos presenta una relación pormenorizada de los distintos tipos de libros y procedimientos de registro que se </w:t>
      </w:r>
      <w:r w:rsidRPr="002841B2">
        <w:rPr>
          <w:rFonts w:ascii="Gill Sans MT" w:hAnsi="Gill Sans MT"/>
          <w:sz w:val="24"/>
          <w:szCs w:val="24"/>
        </w:rPr>
        <w:lastRenderedPageBreak/>
        <w:t xml:space="preserve">empleaban, se desprende que </w:t>
      </w:r>
      <w:r w:rsidR="00FE32CB" w:rsidRPr="002841B2">
        <w:rPr>
          <w:rFonts w:ascii="Gill Sans MT" w:hAnsi="Gill Sans MT"/>
          <w:sz w:val="24"/>
          <w:szCs w:val="24"/>
        </w:rPr>
        <w:t>tenía</w:t>
      </w:r>
      <w:r w:rsidRPr="002841B2">
        <w:rPr>
          <w:rFonts w:ascii="Gill Sans MT" w:hAnsi="Gill Sans MT"/>
          <w:sz w:val="24"/>
          <w:szCs w:val="24"/>
        </w:rPr>
        <w:t xml:space="preserve"> una estructura sistematizada o al menos se seguía un método contable especifico.</w:t>
      </w:r>
      <w:sdt>
        <w:sdtPr>
          <w:rPr>
            <w:rFonts w:ascii="Gill Sans MT" w:hAnsi="Gill Sans MT"/>
            <w:sz w:val="24"/>
            <w:szCs w:val="24"/>
          </w:rPr>
          <w:id w:val="-76674108"/>
          <w:citation/>
        </w:sdtPr>
        <w:sdtEndPr/>
        <w:sdtContent>
          <w:r w:rsidR="00455077">
            <w:rPr>
              <w:rFonts w:ascii="Gill Sans MT" w:hAnsi="Gill Sans MT"/>
              <w:sz w:val="24"/>
              <w:szCs w:val="24"/>
            </w:rPr>
            <w:fldChar w:fldCharType="begin"/>
          </w:r>
          <w:r w:rsidR="00455077">
            <w:rPr>
              <w:rFonts w:ascii="Gill Sans MT" w:hAnsi="Gill Sans MT"/>
              <w:sz w:val="24"/>
              <w:szCs w:val="24"/>
            </w:rPr>
            <w:instrText xml:space="preserve"> CITATION Ger1 \l 2058 </w:instrText>
          </w:r>
          <w:r w:rsidR="00455077">
            <w:rPr>
              <w:rFonts w:ascii="Gill Sans MT" w:hAnsi="Gill Sans MT"/>
              <w:sz w:val="24"/>
              <w:szCs w:val="24"/>
            </w:rPr>
            <w:fldChar w:fldCharType="separate"/>
          </w:r>
          <w:r w:rsidR="00455077">
            <w:rPr>
              <w:rFonts w:ascii="Gill Sans MT" w:hAnsi="Gill Sans MT"/>
              <w:noProof/>
              <w:sz w:val="24"/>
              <w:szCs w:val="24"/>
            </w:rPr>
            <w:t xml:space="preserve"> </w:t>
          </w:r>
          <w:r w:rsidR="00455077" w:rsidRPr="00455077">
            <w:rPr>
              <w:rFonts w:ascii="Gill Sans MT" w:hAnsi="Gill Sans MT"/>
              <w:noProof/>
              <w:sz w:val="24"/>
              <w:szCs w:val="24"/>
            </w:rPr>
            <w:t>(Manero)</w:t>
          </w:r>
          <w:r w:rsidR="00455077">
            <w:rPr>
              <w:rFonts w:ascii="Gill Sans MT" w:hAnsi="Gill Sans MT"/>
              <w:sz w:val="24"/>
              <w:szCs w:val="24"/>
            </w:rPr>
            <w:fldChar w:fldCharType="end"/>
          </w:r>
        </w:sdtContent>
      </w:sdt>
      <w:r w:rsidR="00455077">
        <w:rPr>
          <w:rFonts w:ascii="Gill Sans MT" w:hAnsi="Gill Sans MT"/>
          <w:sz w:val="24"/>
          <w:szCs w:val="24"/>
        </w:rPr>
        <w:t>.</w:t>
      </w:r>
    </w:p>
    <w:p w:rsidR="00DD1D16" w:rsidRPr="007005D7" w:rsidRDefault="00EC4905" w:rsidP="00FD6A01">
      <w:pPr>
        <w:spacing w:line="360" w:lineRule="auto"/>
        <w:rPr>
          <w:rFonts w:ascii="Gill Sans MT" w:hAnsi="Gill Sans MT"/>
          <w:sz w:val="28"/>
          <w:szCs w:val="28"/>
        </w:rPr>
      </w:pPr>
      <w:r>
        <w:rPr>
          <w:rFonts w:ascii="Gill Sans MT" w:hAnsi="Gill Sans MT"/>
          <w:sz w:val="28"/>
          <w:szCs w:val="28"/>
        </w:rPr>
        <w:t>EVOLUCIÓN H</w:t>
      </w:r>
      <w:r w:rsidRPr="007005D7">
        <w:rPr>
          <w:rFonts w:ascii="Gill Sans MT" w:hAnsi="Gill Sans MT"/>
          <w:sz w:val="28"/>
          <w:szCs w:val="28"/>
        </w:rPr>
        <w:t>ISTÓRICA.</w:t>
      </w:r>
    </w:p>
    <w:p w:rsidR="00C20799" w:rsidRPr="002841B2" w:rsidRDefault="001E6A84" w:rsidP="00FD6A01">
      <w:pPr>
        <w:spacing w:line="360" w:lineRule="auto"/>
        <w:rPr>
          <w:rFonts w:ascii="Gill Sans MT" w:hAnsi="Gill Sans MT"/>
          <w:sz w:val="24"/>
          <w:szCs w:val="24"/>
        </w:rPr>
      </w:pPr>
      <w:r w:rsidRPr="002841B2">
        <w:rPr>
          <w:rFonts w:ascii="Gill Sans MT" w:hAnsi="Gill Sans MT"/>
          <w:sz w:val="24"/>
          <w:szCs w:val="24"/>
        </w:rPr>
        <w:t>La contabilidad como el mejor método de información para la toma de decisiones, las otras lecturas o informaciones no reúnen los elementos de selección</w:t>
      </w:r>
      <w:r w:rsidR="00C20799" w:rsidRPr="002841B2">
        <w:rPr>
          <w:rFonts w:ascii="Gill Sans MT" w:hAnsi="Gill Sans MT"/>
          <w:sz w:val="24"/>
          <w:szCs w:val="24"/>
        </w:rPr>
        <w:t>, adecuación requerida y necesaria para analizar los hechos del pasado y realizar los que son requeridos sin pérdida de tiempo en el futuro.</w:t>
      </w:r>
    </w:p>
    <w:p w:rsidR="00C20799" w:rsidRPr="002841B2" w:rsidRDefault="00C20799" w:rsidP="00FD6A01">
      <w:pPr>
        <w:spacing w:line="360" w:lineRule="auto"/>
        <w:rPr>
          <w:rFonts w:ascii="Gill Sans MT" w:hAnsi="Gill Sans MT"/>
          <w:sz w:val="24"/>
          <w:szCs w:val="24"/>
        </w:rPr>
      </w:pPr>
      <w:r w:rsidRPr="002841B2">
        <w:rPr>
          <w:rFonts w:ascii="Gill Sans MT" w:hAnsi="Gill Sans MT"/>
          <w:sz w:val="24"/>
          <w:szCs w:val="24"/>
        </w:rPr>
        <w:t>Toda decisión requiere un análisis y comparación de los hechos para no equivocarse en forma continua. Un error puede ocasionar grandes perjuicios de todo tipo.</w:t>
      </w:r>
    </w:p>
    <w:p w:rsidR="00C20799" w:rsidRDefault="00C20799" w:rsidP="00FD6A01">
      <w:pPr>
        <w:spacing w:line="360" w:lineRule="auto"/>
        <w:rPr>
          <w:rFonts w:ascii="Gill Sans MT" w:hAnsi="Gill Sans MT"/>
          <w:sz w:val="24"/>
          <w:szCs w:val="24"/>
        </w:rPr>
      </w:pPr>
      <w:r w:rsidRPr="002841B2">
        <w:rPr>
          <w:rFonts w:ascii="Gill Sans MT" w:hAnsi="Gill Sans MT"/>
          <w:sz w:val="24"/>
          <w:szCs w:val="24"/>
        </w:rPr>
        <w:t>La contabilidad lleva muchos años brindando un servicio en forma silenciosa con respeto y gran eficiencia. Los sistemas van cambiando a medida que se pueden incorporar nuevos adelantos para mejorar y acelerar los datos requeridos y necesarios para el usuario.</w:t>
      </w:r>
      <w:r w:rsidR="00D07F84" w:rsidRPr="00D07F84">
        <w:rPr>
          <w:rFonts w:ascii="Gill Sans MT" w:hAnsi="Gill Sans MT"/>
          <w:sz w:val="24"/>
          <w:szCs w:val="24"/>
        </w:rPr>
        <w:t xml:space="preserve"> </w:t>
      </w:r>
      <w:r w:rsidR="00D07F84">
        <w:rPr>
          <w:rFonts w:ascii="Gill Sans MT" w:hAnsi="Gill Sans MT"/>
          <w:sz w:val="24"/>
          <w:szCs w:val="24"/>
        </w:rPr>
        <w:t>contabilidad básica primera parte 3ra edición 1997</w:t>
      </w:r>
      <w:r w:rsidRPr="002841B2">
        <w:rPr>
          <w:rFonts w:ascii="Gill Sans MT" w:hAnsi="Gill Sans MT"/>
          <w:sz w:val="24"/>
          <w:szCs w:val="24"/>
        </w:rPr>
        <w:t xml:space="preserve"> </w:t>
      </w:r>
      <w:sdt>
        <w:sdtPr>
          <w:rPr>
            <w:rFonts w:ascii="Gill Sans MT" w:hAnsi="Gill Sans MT"/>
            <w:sz w:val="24"/>
            <w:szCs w:val="24"/>
          </w:rPr>
          <w:id w:val="1155644641"/>
          <w:citation/>
        </w:sdtPr>
        <w:sdtEndPr/>
        <w:sdtContent>
          <w:r w:rsidR="00455077">
            <w:rPr>
              <w:rFonts w:ascii="Gill Sans MT" w:hAnsi="Gill Sans MT"/>
              <w:sz w:val="24"/>
              <w:szCs w:val="24"/>
            </w:rPr>
            <w:fldChar w:fldCharType="begin"/>
          </w:r>
          <w:r w:rsidR="00455077">
            <w:rPr>
              <w:rFonts w:ascii="Gill Sans MT" w:hAnsi="Gill Sans MT"/>
              <w:sz w:val="24"/>
              <w:szCs w:val="24"/>
            </w:rPr>
            <w:instrText xml:space="preserve"> CITATION Men \l 2058 </w:instrText>
          </w:r>
          <w:r w:rsidR="00455077">
            <w:rPr>
              <w:rFonts w:ascii="Gill Sans MT" w:hAnsi="Gill Sans MT"/>
              <w:sz w:val="24"/>
              <w:szCs w:val="24"/>
            </w:rPr>
            <w:fldChar w:fldCharType="separate"/>
          </w:r>
          <w:r w:rsidR="00455077" w:rsidRPr="00455077">
            <w:rPr>
              <w:rFonts w:ascii="Gill Sans MT" w:hAnsi="Gill Sans MT"/>
              <w:noProof/>
              <w:sz w:val="24"/>
              <w:szCs w:val="24"/>
            </w:rPr>
            <w:t>(Oscar)</w:t>
          </w:r>
          <w:r w:rsidR="00455077">
            <w:rPr>
              <w:rFonts w:ascii="Gill Sans MT" w:hAnsi="Gill Sans MT"/>
              <w:sz w:val="24"/>
              <w:szCs w:val="24"/>
            </w:rPr>
            <w:fldChar w:fldCharType="end"/>
          </w:r>
        </w:sdtContent>
      </w:sdt>
      <w:r w:rsidR="00D07F84">
        <w:rPr>
          <w:rFonts w:ascii="Gill Sans MT" w:hAnsi="Gill Sans MT"/>
          <w:sz w:val="24"/>
          <w:szCs w:val="24"/>
        </w:rPr>
        <w:t xml:space="preserve"> </w:t>
      </w:r>
    </w:p>
    <w:p w:rsidR="002841B2" w:rsidRDefault="002841B2" w:rsidP="00FD6A01">
      <w:pPr>
        <w:spacing w:line="360" w:lineRule="auto"/>
        <w:rPr>
          <w:rFonts w:ascii="Gill Sans MT" w:hAnsi="Gill Sans MT"/>
          <w:sz w:val="24"/>
          <w:szCs w:val="24"/>
        </w:rPr>
      </w:pPr>
      <w:r>
        <w:rPr>
          <w:rFonts w:ascii="Gill Sans MT" w:hAnsi="Gill Sans MT"/>
          <w:sz w:val="24"/>
          <w:szCs w:val="24"/>
        </w:rPr>
        <w:t>Como ya</w:t>
      </w:r>
      <w:r w:rsidR="001F3989">
        <w:rPr>
          <w:rFonts w:ascii="Gill Sans MT" w:hAnsi="Gill Sans MT"/>
          <w:sz w:val="24"/>
          <w:szCs w:val="24"/>
        </w:rPr>
        <w:t xml:space="preserve"> se</w:t>
      </w:r>
      <w:r>
        <w:rPr>
          <w:rFonts w:ascii="Gill Sans MT" w:hAnsi="Gill Sans MT"/>
          <w:sz w:val="24"/>
          <w:szCs w:val="24"/>
        </w:rPr>
        <w:t xml:space="preserve"> ha explicado un poco</w:t>
      </w:r>
      <w:r w:rsidR="001F3989">
        <w:rPr>
          <w:rFonts w:ascii="Gill Sans MT" w:hAnsi="Gill Sans MT"/>
          <w:sz w:val="24"/>
          <w:szCs w:val="24"/>
        </w:rPr>
        <w:t xml:space="preserve"> acerca</w:t>
      </w:r>
      <w:r>
        <w:rPr>
          <w:rFonts w:ascii="Gill Sans MT" w:hAnsi="Gill Sans MT"/>
          <w:sz w:val="24"/>
          <w:szCs w:val="24"/>
        </w:rPr>
        <w:t xml:space="preserve"> de la historia de la contabilidad</w:t>
      </w:r>
      <w:r w:rsidR="001F3989">
        <w:rPr>
          <w:rFonts w:ascii="Gill Sans MT" w:hAnsi="Gill Sans MT"/>
          <w:sz w:val="24"/>
          <w:szCs w:val="24"/>
        </w:rPr>
        <w:t>,</w:t>
      </w:r>
      <w:r>
        <w:rPr>
          <w:rFonts w:ascii="Gill Sans MT" w:hAnsi="Gill Sans MT"/>
          <w:sz w:val="24"/>
          <w:szCs w:val="24"/>
        </w:rPr>
        <w:t xml:space="preserve"> ha estado present</w:t>
      </w:r>
      <w:r w:rsidR="00FF1551">
        <w:rPr>
          <w:rFonts w:ascii="Gill Sans MT" w:hAnsi="Gill Sans MT"/>
          <w:sz w:val="24"/>
          <w:szCs w:val="24"/>
        </w:rPr>
        <w:t xml:space="preserve">e desde los primeros pobladores. </w:t>
      </w:r>
      <w:r w:rsidR="00FF1551" w:rsidRPr="00FF1551">
        <w:rPr>
          <w:rFonts w:ascii="Gill Sans MT" w:hAnsi="Gill Sans MT"/>
          <w:sz w:val="24"/>
          <w:szCs w:val="24"/>
        </w:rPr>
        <w:t>E</w:t>
      </w:r>
      <w:r>
        <w:rPr>
          <w:rFonts w:ascii="Gill Sans MT" w:hAnsi="Gill Sans MT"/>
          <w:sz w:val="24"/>
          <w:szCs w:val="24"/>
        </w:rPr>
        <w:t>n nuestros tiempo</w:t>
      </w:r>
      <w:r w:rsidR="00DD47ED">
        <w:rPr>
          <w:rFonts w:ascii="Gill Sans MT" w:hAnsi="Gill Sans MT"/>
          <w:sz w:val="24"/>
          <w:szCs w:val="24"/>
        </w:rPr>
        <w:t>s ha sido d</w:t>
      </w:r>
      <w:r w:rsidR="00FF1551">
        <w:rPr>
          <w:rFonts w:ascii="Gill Sans MT" w:hAnsi="Gill Sans MT"/>
          <w:sz w:val="24"/>
          <w:szCs w:val="24"/>
        </w:rPr>
        <w:t>e gran apoyo y tomando en cue</w:t>
      </w:r>
      <w:r w:rsidR="001F3989">
        <w:rPr>
          <w:rFonts w:ascii="Gill Sans MT" w:hAnsi="Gill Sans MT"/>
          <w:sz w:val="24"/>
          <w:szCs w:val="24"/>
        </w:rPr>
        <w:t>nta</w:t>
      </w:r>
      <w:r>
        <w:rPr>
          <w:rFonts w:ascii="Gill Sans MT" w:hAnsi="Gill Sans MT"/>
          <w:sz w:val="24"/>
          <w:szCs w:val="24"/>
        </w:rPr>
        <w:t xml:space="preserve"> que también ha</w:t>
      </w:r>
      <w:r w:rsidR="00FF1551">
        <w:rPr>
          <w:rFonts w:ascii="Gill Sans MT" w:hAnsi="Gill Sans MT"/>
          <w:sz w:val="24"/>
          <w:szCs w:val="24"/>
        </w:rPr>
        <w:t xml:space="preserve"> existido</w:t>
      </w:r>
      <w:r>
        <w:rPr>
          <w:rFonts w:ascii="Gill Sans MT" w:hAnsi="Gill Sans MT"/>
          <w:sz w:val="24"/>
          <w:szCs w:val="24"/>
        </w:rPr>
        <w:t xml:space="preserve"> una necesidad </w:t>
      </w:r>
      <w:r w:rsidR="00FF1551">
        <w:rPr>
          <w:rFonts w:ascii="Gill Sans MT" w:hAnsi="Gill Sans MT"/>
          <w:sz w:val="24"/>
          <w:szCs w:val="24"/>
        </w:rPr>
        <w:t>d</w:t>
      </w:r>
      <w:r>
        <w:rPr>
          <w:rFonts w:ascii="Gill Sans MT" w:hAnsi="Gill Sans MT"/>
          <w:sz w:val="24"/>
          <w:szCs w:val="24"/>
        </w:rPr>
        <w:t xml:space="preserve">el surgimiento de muchas áreas </w:t>
      </w:r>
      <w:r w:rsidR="00DD47ED">
        <w:rPr>
          <w:rFonts w:ascii="Gill Sans MT" w:hAnsi="Gill Sans MT"/>
          <w:sz w:val="24"/>
          <w:szCs w:val="24"/>
        </w:rPr>
        <w:t xml:space="preserve">más desplegadas de la contabilidad. Aunque existan diferentes formas de llamarlo o el servicio al que se estará prestando todos tienen un fin común </w:t>
      </w:r>
      <w:r w:rsidR="00FF1551">
        <w:rPr>
          <w:rFonts w:ascii="Gill Sans MT" w:hAnsi="Gill Sans MT"/>
          <w:sz w:val="24"/>
          <w:szCs w:val="24"/>
        </w:rPr>
        <w:t>el de llevar una sana contabilidad en los negocios, presentar información con las autoridades fiscales</w:t>
      </w:r>
      <w:r w:rsidR="00C26EFA">
        <w:rPr>
          <w:rFonts w:ascii="Gill Sans MT" w:hAnsi="Gill Sans MT"/>
          <w:sz w:val="24"/>
          <w:szCs w:val="24"/>
        </w:rPr>
        <w:t>,</w:t>
      </w:r>
      <w:r w:rsidR="00FF1551">
        <w:rPr>
          <w:rFonts w:ascii="Gill Sans MT" w:hAnsi="Gill Sans MT"/>
          <w:sz w:val="24"/>
          <w:szCs w:val="24"/>
        </w:rPr>
        <w:t xml:space="preserve"> saber en </w:t>
      </w:r>
      <w:r w:rsidR="00C26EFA">
        <w:rPr>
          <w:rFonts w:ascii="Gill Sans MT" w:hAnsi="Gill Sans MT"/>
          <w:sz w:val="24"/>
          <w:szCs w:val="24"/>
        </w:rPr>
        <w:t>qué</w:t>
      </w:r>
      <w:r w:rsidR="00FF1551">
        <w:rPr>
          <w:rFonts w:ascii="Gill Sans MT" w:hAnsi="Gill Sans MT"/>
          <w:sz w:val="24"/>
          <w:szCs w:val="24"/>
        </w:rPr>
        <w:t xml:space="preserve"> rubro darse de alta ante el SAT, como deducir impuesto que es uno de los temas con </w:t>
      </w:r>
      <w:r w:rsidR="00C26EFA">
        <w:rPr>
          <w:rFonts w:ascii="Gill Sans MT" w:hAnsi="Gill Sans MT"/>
          <w:sz w:val="24"/>
          <w:szCs w:val="24"/>
        </w:rPr>
        <w:t>más</w:t>
      </w:r>
      <w:r w:rsidR="00FF1551">
        <w:rPr>
          <w:rFonts w:ascii="Gill Sans MT" w:hAnsi="Gill Sans MT"/>
          <w:sz w:val="24"/>
          <w:szCs w:val="24"/>
        </w:rPr>
        <w:t xml:space="preserve"> inquietudes</w:t>
      </w:r>
      <w:r w:rsidR="00C26EFA">
        <w:rPr>
          <w:rFonts w:ascii="Gill Sans MT" w:hAnsi="Gill Sans MT"/>
          <w:sz w:val="24"/>
          <w:szCs w:val="24"/>
        </w:rPr>
        <w:t xml:space="preserve"> que hay en</w:t>
      </w:r>
      <w:r w:rsidR="00FF1551">
        <w:rPr>
          <w:rFonts w:ascii="Gill Sans MT" w:hAnsi="Gill Sans MT"/>
          <w:sz w:val="24"/>
          <w:szCs w:val="24"/>
        </w:rPr>
        <w:t xml:space="preserve"> las personas físicas que tributan bajo un </w:t>
      </w:r>
      <w:r w:rsidR="00C26EFA">
        <w:rPr>
          <w:rFonts w:ascii="Gill Sans MT" w:hAnsi="Gill Sans MT"/>
          <w:sz w:val="24"/>
          <w:szCs w:val="24"/>
        </w:rPr>
        <w:t>régimen o en este caso bajo el régimen de honorarios que es de quien se está hablando.</w:t>
      </w:r>
    </w:p>
    <w:p w:rsidR="00C26EFA" w:rsidRDefault="00C26EFA" w:rsidP="00FD6A01">
      <w:pPr>
        <w:spacing w:line="360" w:lineRule="auto"/>
        <w:rPr>
          <w:rFonts w:ascii="Gill Sans MT" w:hAnsi="Gill Sans MT"/>
          <w:sz w:val="24"/>
          <w:szCs w:val="24"/>
        </w:rPr>
      </w:pPr>
      <w:r>
        <w:rPr>
          <w:rFonts w:ascii="Gill Sans MT" w:hAnsi="Gill Sans MT"/>
          <w:sz w:val="24"/>
          <w:szCs w:val="24"/>
        </w:rPr>
        <w:t>A lo largo de la existencia de la contaduría las autoridades fiscales se han dado a la tare de crear nuevas oportunidades o nuevas obligaciones que cada persona física o moral debe cumplir.</w:t>
      </w:r>
    </w:p>
    <w:p w:rsidR="00C26EFA" w:rsidRDefault="00C26EFA" w:rsidP="00FD6A01">
      <w:pPr>
        <w:spacing w:line="360" w:lineRule="auto"/>
        <w:rPr>
          <w:rFonts w:ascii="Gill Sans MT" w:hAnsi="Gill Sans MT"/>
          <w:sz w:val="24"/>
          <w:szCs w:val="24"/>
        </w:rPr>
      </w:pPr>
      <w:r>
        <w:rPr>
          <w:rFonts w:ascii="Gill Sans MT" w:hAnsi="Gill Sans MT"/>
          <w:sz w:val="24"/>
          <w:szCs w:val="24"/>
        </w:rPr>
        <w:t xml:space="preserve">Para que una deducción se lleve a cabo antes tuvo que existir el pago de un impuesto como lo es el ISR. Con el paso del tiempo se ha logrado hacer nuevas modificaciones para los </w:t>
      </w:r>
      <w:r>
        <w:rPr>
          <w:rFonts w:ascii="Gill Sans MT" w:hAnsi="Gill Sans MT"/>
          <w:sz w:val="24"/>
          <w:szCs w:val="24"/>
        </w:rPr>
        <w:lastRenderedPageBreak/>
        <w:t>comercios o los que brindan servicios profesionales. A continuación, hablaremos del surgimiento del ISR.</w:t>
      </w:r>
    </w:p>
    <w:p w:rsidR="00801E43" w:rsidRDefault="00A472DF" w:rsidP="00FD6A01">
      <w:pPr>
        <w:spacing w:line="360" w:lineRule="auto"/>
        <w:rPr>
          <w:rFonts w:ascii="Gill Sans MT" w:hAnsi="Gill Sans MT"/>
          <w:sz w:val="24"/>
          <w:szCs w:val="24"/>
        </w:rPr>
      </w:pPr>
      <w:r>
        <w:rPr>
          <w:rFonts w:ascii="Gill Sans MT" w:hAnsi="Gill Sans MT"/>
          <w:sz w:val="24"/>
          <w:szCs w:val="24"/>
        </w:rPr>
        <w:t xml:space="preserve">Las personas que tributan bajo un </w:t>
      </w:r>
      <w:r w:rsidR="00E470E6">
        <w:rPr>
          <w:rFonts w:ascii="Gill Sans MT" w:hAnsi="Gill Sans MT"/>
          <w:sz w:val="24"/>
          <w:szCs w:val="24"/>
        </w:rPr>
        <w:t>régimen posiblemente</w:t>
      </w:r>
      <w:r>
        <w:rPr>
          <w:rFonts w:ascii="Gill Sans MT" w:hAnsi="Gill Sans MT"/>
          <w:sz w:val="24"/>
          <w:szCs w:val="24"/>
        </w:rPr>
        <w:t xml:space="preserve"> se pregunten </w:t>
      </w:r>
      <w:r w:rsidR="00E470E6">
        <w:rPr>
          <w:rFonts w:ascii="Gill Sans MT" w:hAnsi="Gill Sans MT"/>
          <w:sz w:val="24"/>
          <w:szCs w:val="24"/>
        </w:rPr>
        <w:t>por qué</w:t>
      </w:r>
      <w:r>
        <w:rPr>
          <w:rFonts w:ascii="Gill Sans MT" w:hAnsi="Gill Sans MT"/>
          <w:sz w:val="24"/>
          <w:szCs w:val="24"/>
        </w:rPr>
        <w:t xml:space="preserve"> pagar un impuesto cuando ellos trabajan bajo un negocio propio o prestando servicios profesionales haciéndolos con sus propios </w:t>
      </w:r>
      <w:r w:rsidR="00E470E6">
        <w:rPr>
          <w:rFonts w:ascii="Gill Sans MT" w:hAnsi="Gill Sans MT"/>
          <w:sz w:val="24"/>
          <w:szCs w:val="24"/>
        </w:rPr>
        <w:t>bienes,</w:t>
      </w:r>
      <w:r>
        <w:rPr>
          <w:rFonts w:ascii="Gill Sans MT" w:hAnsi="Gill Sans MT"/>
          <w:sz w:val="24"/>
          <w:szCs w:val="24"/>
        </w:rPr>
        <w:t xml:space="preserve"> en este caso la </w:t>
      </w:r>
      <w:r w:rsidR="00E470E6">
        <w:rPr>
          <w:rFonts w:ascii="Gill Sans MT" w:hAnsi="Gill Sans MT"/>
          <w:sz w:val="24"/>
          <w:szCs w:val="24"/>
        </w:rPr>
        <w:t>constitución</w:t>
      </w:r>
      <w:r>
        <w:rPr>
          <w:rFonts w:ascii="Gill Sans MT" w:hAnsi="Gill Sans MT"/>
          <w:sz w:val="24"/>
          <w:szCs w:val="24"/>
        </w:rPr>
        <w:t xml:space="preserve"> de los estados unidos mexicanos (CPEUM) art. 31 sección lV dice que todos estamos obligados a contribuir al gasto público ya sea persona física o moral al igual que cualquier ciudadano que no ejerza una actividad empresarial o profesional. </w:t>
      </w:r>
    </w:p>
    <w:p w:rsidR="00A472DF" w:rsidRPr="00D06F22" w:rsidRDefault="00D06F22" w:rsidP="00FD6A01">
      <w:pPr>
        <w:spacing w:line="360" w:lineRule="auto"/>
        <w:rPr>
          <w:rFonts w:ascii="Gill Sans MT" w:hAnsi="Gill Sans MT"/>
          <w:sz w:val="28"/>
          <w:szCs w:val="28"/>
        </w:rPr>
      </w:pPr>
      <w:r w:rsidRPr="00D06F22">
        <w:rPr>
          <w:rFonts w:ascii="Gill Sans MT" w:hAnsi="Gill Sans MT"/>
          <w:sz w:val="28"/>
          <w:szCs w:val="28"/>
        </w:rPr>
        <w:t>HISTORIA DEL ISR.</w:t>
      </w:r>
    </w:p>
    <w:p w:rsidR="00A472DF" w:rsidRDefault="00A472DF" w:rsidP="00FD6A01">
      <w:pPr>
        <w:spacing w:line="360" w:lineRule="auto"/>
        <w:rPr>
          <w:rFonts w:ascii="Gill Sans MT" w:hAnsi="Gill Sans MT"/>
          <w:sz w:val="24"/>
          <w:szCs w:val="24"/>
        </w:rPr>
      </w:pPr>
      <w:r>
        <w:rPr>
          <w:rFonts w:ascii="Gill Sans MT" w:hAnsi="Gill Sans MT"/>
          <w:sz w:val="24"/>
          <w:szCs w:val="24"/>
        </w:rPr>
        <w:t xml:space="preserve">El impuesto sobre la renta nace en </w:t>
      </w:r>
      <w:r w:rsidR="00E470E6">
        <w:rPr>
          <w:rFonts w:ascii="Gill Sans MT" w:hAnsi="Gill Sans MT"/>
          <w:sz w:val="24"/>
          <w:szCs w:val="24"/>
        </w:rPr>
        <w:t>México</w:t>
      </w:r>
      <w:r>
        <w:rPr>
          <w:rFonts w:ascii="Gill Sans MT" w:hAnsi="Gill Sans MT"/>
          <w:sz w:val="24"/>
          <w:szCs w:val="24"/>
        </w:rPr>
        <w:t xml:space="preserve"> en 1921 con el impuesto del centenario. El 20 de junio de 1921 se </w:t>
      </w:r>
      <w:r w:rsidR="00E470E6">
        <w:rPr>
          <w:rFonts w:ascii="Gill Sans MT" w:hAnsi="Gill Sans MT"/>
          <w:sz w:val="24"/>
          <w:szCs w:val="24"/>
        </w:rPr>
        <w:t>publicó</w:t>
      </w:r>
      <w:r>
        <w:rPr>
          <w:rFonts w:ascii="Gill Sans MT" w:hAnsi="Gill Sans MT"/>
          <w:sz w:val="24"/>
          <w:szCs w:val="24"/>
        </w:rPr>
        <w:t xml:space="preserve"> un decreto </w:t>
      </w:r>
      <w:r w:rsidR="000E5BA1">
        <w:rPr>
          <w:rFonts w:ascii="Gill Sans MT" w:hAnsi="Gill Sans MT"/>
          <w:sz w:val="24"/>
          <w:szCs w:val="24"/>
        </w:rPr>
        <w:t>promulga torio</w:t>
      </w:r>
      <w:r>
        <w:rPr>
          <w:rFonts w:ascii="Gill Sans MT" w:hAnsi="Gill Sans MT"/>
          <w:sz w:val="24"/>
          <w:szCs w:val="24"/>
        </w:rPr>
        <w:t xml:space="preserve"> de una ley que </w:t>
      </w:r>
      <w:r w:rsidR="000E5BA1">
        <w:rPr>
          <w:rFonts w:ascii="Gill Sans MT" w:hAnsi="Gill Sans MT"/>
          <w:sz w:val="24"/>
          <w:szCs w:val="24"/>
        </w:rPr>
        <w:t>estableció</w:t>
      </w:r>
      <w:r>
        <w:rPr>
          <w:rFonts w:ascii="Gill Sans MT" w:hAnsi="Gill Sans MT"/>
          <w:sz w:val="24"/>
          <w:szCs w:val="24"/>
        </w:rPr>
        <w:t xml:space="preserve"> un impuesto federal, extraordinario</w:t>
      </w:r>
      <w:r w:rsidR="000E5BA1">
        <w:rPr>
          <w:rFonts w:ascii="Gill Sans MT" w:hAnsi="Gill Sans MT"/>
          <w:sz w:val="24"/>
          <w:szCs w:val="24"/>
        </w:rPr>
        <w:t xml:space="preserve"> y pagadero por una sola vez, sobre los ingresos o ganancias particulares. No fue una ley de carácter permanente solo tuvo un mes de vigencia, la ley se </w:t>
      </w:r>
      <w:r w:rsidR="00E470E6">
        <w:rPr>
          <w:rFonts w:ascii="Gill Sans MT" w:hAnsi="Gill Sans MT"/>
          <w:sz w:val="24"/>
          <w:szCs w:val="24"/>
        </w:rPr>
        <w:t>dividía</w:t>
      </w:r>
      <w:r w:rsidR="000E5BA1">
        <w:rPr>
          <w:rFonts w:ascii="Gill Sans MT" w:hAnsi="Gill Sans MT"/>
          <w:sz w:val="24"/>
          <w:szCs w:val="24"/>
        </w:rPr>
        <w:t xml:space="preserve"> en cuatro capítulos denominado cedulas 1. Del </w:t>
      </w:r>
      <w:r w:rsidR="00E470E6">
        <w:rPr>
          <w:rFonts w:ascii="Gill Sans MT" w:hAnsi="Gill Sans MT"/>
          <w:sz w:val="24"/>
          <w:szCs w:val="24"/>
        </w:rPr>
        <w:t>ejerció</w:t>
      </w:r>
      <w:r w:rsidR="000E5BA1">
        <w:rPr>
          <w:rFonts w:ascii="Gill Sans MT" w:hAnsi="Gill Sans MT"/>
          <w:sz w:val="24"/>
          <w:szCs w:val="24"/>
        </w:rPr>
        <w:t xml:space="preserve"> del comercio o de la industria 2. Del ejercicio de una profesión </w:t>
      </w:r>
      <w:r w:rsidR="00E470E6">
        <w:rPr>
          <w:rFonts w:ascii="Gill Sans MT" w:hAnsi="Gill Sans MT"/>
          <w:sz w:val="24"/>
          <w:szCs w:val="24"/>
        </w:rPr>
        <w:t>liberal, literari</w:t>
      </w:r>
      <w:r w:rsidR="000E5BA1">
        <w:rPr>
          <w:rFonts w:ascii="Gill Sans MT" w:hAnsi="Gill Sans MT"/>
          <w:sz w:val="24"/>
          <w:szCs w:val="24"/>
        </w:rPr>
        <w:t>a artística o innominada 3. Del trabajo a sueldo o salario 4. De la colocación d dinero o valores a redito, participación o dividendos. No hubieron cedulas para la agricultura ni para la ganadería.</w:t>
      </w:r>
    </w:p>
    <w:p w:rsidR="00D06F22" w:rsidRDefault="00D06F22" w:rsidP="00FD6A01">
      <w:pPr>
        <w:spacing w:line="360" w:lineRule="auto"/>
        <w:rPr>
          <w:rFonts w:ascii="Gill Sans MT" w:hAnsi="Gill Sans MT"/>
          <w:sz w:val="24"/>
          <w:szCs w:val="24"/>
        </w:rPr>
      </w:pPr>
    </w:p>
    <w:p w:rsidR="000E5BA1" w:rsidRDefault="000E5BA1" w:rsidP="00FD6A01">
      <w:pPr>
        <w:spacing w:line="360" w:lineRule="auto"/>
        <w:rPr>
          <w:rFonts w:ascii="Gill Sans MT" w:hAnsi="Gill Sans MT"/>
          <w:sz w:val="24"/>
          <w:szCs w:val="24"/>
        </w:rPr>
      </w:pPr>
      <w:r>
        <w:rPr>
          <w:rFonts w:ascii="Gill Sans MT" w:hAnsi="Gill Sans MT"/>
          <w:sz w:val="24"/>
          <w:szCs w:val="24"/>
        </w:rPr>
        <w:t>Ley del 21 de febrero de 1924 y su reglamento</w:t>
      </w:r>
    </w:p>
    <w:p w:rsidR="000E5BA1" w:rsidRDefault="000E5BA1" w:rsidP="00FD6A01">
      <w:pPr>
        <w:spacing w:line="360" w:lineRule="auto"/>
        <w:rPr>
          <w:rFonts w:ascii="Gill Sans MT" w:hAnsi="Gill Sans MT"/>
          <w:sz w:val="24"/>
          <w:szCs w:val="24"/>
        </w:rPr>
      </w:pPr>
      <w:r>
        <w:rPr>
          <w:rFonts w:ascii="Gill Sans MT" w:hAnsi="Gill Sans MT"/>
          <w:sz w:val="24"/>
          <w:szCs w:val="24"/>
        </w:rPr>
        <w:t>El 21 de febrero de 1924 se promulgo la ley para la recaudación de los impuestos establecidos en la ley de ingresos vigente sobre</w:t>
      </w:r>
      <w:r w:rsidR="000C5B98">
        <w:rPr>
          <w:rFonts w:ascii="Gill Sans MT" w:hAnsi="Gill Sans MT"/>
          <w:sz w:val="24"/>
          <w:szCs w:val="24"/>
        </w:rPr>
        <w:t xml:space="preserve"> sueldos, salarios, emolumentos, honorarios y utilidades de las sociedades </w:t>
      </w:r>
      <w:r w:rsidR="00311E21">
        <w:rPr>
          <w:rFonts w:ascii="Gill Sans MT" w:hAnsi="Gill Sans MT"/>
          <w:sz w:val="24"/>
          <w:szCs w:val="24"/>
        </w:rPr>
        <w:t>de las sociedades y empresas. Es</w:t>
      </w:r>
      <w:r w:rsidR="000C5B98">
        <w:rPr>
          <w:rFonts w:ascii="Gill Sans MT" w:hAnsi="Gill Sans MT"/>
          <w:sz w:val="24"/>
          <w:szCs w:val="24"/>
        </w:rPr>
        <w:t xml:space="preserve">ta ley no fue de carácter transitorio como lo fue la del centenario, y marcó el inicio del” sistema cedular” de gravamen que rigió en nuestro país por aproximadamente cuarenta años. En contraste con la ley del centenario, esta ley no gravar los ingresos brutos de la sociedad y empresas, para la determinación de la base gravable se permitía usar deducciones de los ingresos, por eso esta ley constituye el antecedente más remoto del impuesto sobre la renta ya que, además de que fue una ley permanente permitió gravar solamente la utilidad obtenida que es la que produce el incremento en el haber patrimonial de los contribuyentes. Ese </w:t>
      </w:r>
      <w:r w:rsidR="007F0847">
        <w:rPr>
          <w:rFonts w:ascii="Gill Sans MT" w:hAnsi="Gill Sans MT"/>
          <w:sz w:val="24"/>
          <w:szCs w:val="24"/>
        </w:rPr>
        <w:t>incremento</w:t>
      </w:r>
      <w:r w:rsidR="000C5B98">
        <w:rPr>
          <w:rFonts w:ascii="Gill Sans MT" w:hAnsi="Gill Sans MT"/>
          <w:sz w:val="24"/>
          <w:szCs w:val="24"/>
        </w:rPr>
        <w:t xml:space="preserve"> es, </w:t>
      </w:r>
      <w:r w:rsidR="000C5B98">
        <w:rPr>
          <w:rFonts w:ascii="Gill Sans MT" w:hAnsi="Gill Sans MT"/>
          <w:sz w:val="24"/>
          <w:szCs w:val="24"/>
        </w:rPr>
        <w:lastRenderedPageBreak/>
        <w:t xml:space="preserve">propiamente, el signo de capacidad contributiva. El reglamento que </w:t>
      </w:r>
      <w:r w:rsidR="007F0847">
        <w:rPr>
          <w:rFonts w:ascii="Gill Sans MT" w:hAnsi="Gill Sans MT"/>
          <w:sz w:val="24"/>
          <w:szCs w:val="24"/>
        </w:rPr>
        <w:t>s</w:t>
      </w:r>
      <w:r w:rsidR="000C5B98">
        <w:rPr>
          <w:rFonts w:ascii="Gill Sans MT" w:hAnsi="Gill Sans MT"/>
          <w:sz w:val="24"/>
          <w:szCs w:val="24"/>
        </w:rPr>
        <w:t xml:space="preserve">e promulgo el mismo </w:t>
      </w:r>
      <w:r w:rsidR="007F0847">
        <w:rPr>
          <w:rFonts w:ascii="Gill Sans MT" w:hAnsi="Gill Sans MT"/>
          <w:sz w:val="24"/>
          <w:szCs w:val="24"/>
        </w:rPr>
        <w:t>día</w:t>
      </w:r>
      <w:r w:rsidR="000C5B98">
        <w:rPr>
          <w:rFonts w:ascii="Gill Sans MT" w:hAnsi="Gill Sans MT"/>
          <w:sz w:val="24"/>
          <w:szCs w:val="24"/>
        </w:rPr>
        <w:t xml:space="preserve"> que la ley, </w:t>
      </w:r>
      <w:r w:rsidR="007F0847">
        <w:rPr>
          <w:rFonts w:ascii="Gill Sans MT" w:hAnsi="Gill Sans MT"/>
          <w:sz w:val="24"/>
          <w:szCs w:val="24"/>
        </w:rPr>
        <w:t>establecía</w:t>
      </w:r>
      <w:r w:rsidR="000C5B98">
        <w:rPr>
          <w:rFonts w:ascii="Gill Sans MT" w:hAnsi="Gill Sans MT"/>
          <w:sz w:val="24"/>
          <w:szCs w:val="24"/>
        </w:rPr>
        <w:t xml:space="preserve"> en sus diversos capítulos </w:t>
      </w:r>
      <w:r w:rsidR="007F0847">
        <w:rPr>
          <w:rFonts w:ascii="Gill Sans MT" w:hAnsi="Gill Sans MT"/>
          <w:sz w:val="24"/>
          <w:szCs w:val="24"/>
        </w:rPr>
        <w:t>las clases de contribuyentes, indicaba las formas de elaborar las declaraciones y la manera de pagar el impuesto.</w:t>
      </w:r>
    </w:p>
    <w:p w:rsidR="007F0847" w:rsidRDefault="007F0847" w:rsidP="00FD6A01">
      <w:pPr>
        <w:spacing w:line="360" w:lineRule="auto"/>
        <w:rPr>
          <w:rFonts w:ascii="Gill Sans MT" w:hAnsi="Gill Sans MT"/>
          <w:sz w:val="24"/>
          <w:szCs w:val="24"/>
        </w:rPr>
      </w:pPr>
      <w:r>
        <w:rPr>
          <w:rFonts w:ascii="Gill Sans MT" w:hAnsi="Gill Sans MT"/>
          <w:sz w:val="24"/>
          <w:szCs w:val="24"/>
        </w:rPr>
        <w:t>Ley del 18 de marzo de 1925</w:t>
      </w:r>
    </w:p>
    <w:p w:rsidR="007F0847" w:rsidRDefault="007F0847" w:rsidP="00FD6A01">
      <w:pPr>
        <w:spacing w:line="360" w:lineRule="auto"/>
        <w:rPr>
          <w:rFonts w:ascii="Gill Sans MT" w:hAnsi="Gill Sans MT"/>
          <w:sz w:val="24"/>
          <w:szCs w:val="24"/>
        </w:rPr>
      </w:pPr>
      <w:r>
        <w:rPr>
          <w:rFonts w:ascii="Gill Sans MT" w:hAnsi="Gill Sans MT"/>
          <w:sz w:val="24"/>
          <w:szCs w:val="24"/>
        </w:rPr>
        <w:t>Esta ley fue la que por primera vez se llamó “ley de impuesto sobre la renta”.</w:t>
      </w:r>
    </w:p>
    <w:p w:rsidR="007F0847" w:rsidRDefault="007F0847" w:rsidP="00FD6A01">
      <w:pPr>
        <w:spacing w:line="360" w:lineRule="auto"/>
        <w:rPr>
          <w:rFonts w:ascii="Gill Sans MT" w:hAnsi="Gill Sans MT"/>
          <w:sz w:val="24"/>
          <w:szCs w:val="24"/>
        </w:rPr>
      </w:pPr>
      <w:r>
        <w:rPr>
          <w:rFonts w:ascii="Gill Sans MT" w:hAnsi="Gill Sans MT"/>
          <w:sz w:val="24"/>
          <w:szCs w:val="24"/>
        </w:rPr>
        <w:t xml:space="preserve">Rigió dieciséis años durante los cuales sufrió varias modificaciones para adecuarse al crecimiento económico de México, Definió lo que debía entenderse por ingreso y por primera vez se le dio consideración al ingreso por crédito, sin embargo, se establecía que solo procedía tomarlo en consideración cuando no existiera obligación de restituir su importe, requisito que más tarde desapareció porque era una redundancia que únicamente sirvió para evadir el oportuno cumplimiento de la ley. </w:t>
      </w:r>
    </w:p>
    <w:p w:rsidR="00D269C7" w:rsidRDefault="00D269C7" w:rsidP="00FD6A01">
      <w:pPr>
        <w:spacing w:line="360" w:lineRule="auto"/>
        <w:rPr>
          <w:rFonts w:ascii="Gill Sans MT" w:hAnsi="Gill Sans MT"/>
          <w:sz w:val="24"/>
          <w:szCs w:val="24"/>
        </w:rPr>
      </w:pPr>
      <w:r>
        <w:rPr>
          <w:rFonts w:ascii="Gill Sans MT" w:hAnsi="Gill Sans MT"/>
          <w:sz w:val="24"/>
          <w:szCs w:val="24"/>
        </w:rPr>
        <w:t>Ley de impuesto sobre el super</w:t>
      </w:r>
      <w:r w:rsidR="00B246D1">
        <w:rPr>
          <w:rFonts w:ascii="Gill Sans MT" w:hAnsi="Gill Sans MT"/>
          <w:sz w:val="24"/>
          <w:szCs w:val="24"/>
        </w:rPr>
        <w:t>p</w:t>
      </w:r>
      <w:r>
        <w:rPr>
          <w:rFonts w:ascii="Gill Sans MT" w:hAnsi="Gill Sans MT"/>
          <w:sz w:val="24"/>
          <w:szCs w:val="24"/>
        </w:rPr>
        <w:t>rovecho del 27 de diciembre de 1939</w:t>
      </w:r>
    </w:p>
    <w:p w:rsidR="00B246D1" w:rsidRDefault="00B246D1" w:rsidP="00FD6A01">
      <w:pPr>
        <w:spacing w:line="360" w:lineRule="auto"/>
        <w:rPr>
          <w:rFonts w:ascii="Gill Sans MT" w:hAnsi="Gill Sans MT"/>
          <w:sz w:val="24"/>
          <w:szCs w:val="24"/>
        </w:rPr>
      </w:pPr>
      <w:r>
        <w:rPr>
          <w:rFonts w:ascii="Gill Sans MT" w:hAnsi="Gill Sans MT"/>
          <w:sz w:val="24"/>
          <w:szCs w:val="24"/>
        </w:rPr>
        <w:t xml:space="preserve">Durante el periodo comprendido entre 1932 y 1948 aparecieron leyes complementarias a la ley de impuesto sobre la renta, con diversos fines, los cuales </w:t>
      </w:r>
      <w:r w:rsidR="00311E21">
        <w:rPr>
          <w:rFonts w:ascii="Gill Sans MT" w:hAnsi="Gill Sans MT"/>
          <w:sz w:val="24"/>
          <w:szCs w:val="24"/>
        </w:rPr>
        <w:t>podríamos</w:t>
      </w:r>
      <w:r>
        <w:rPr>
          <w:rFonts w:ascii="Gill Sans MT" w:hAnsi="Gill Sans MT"/>
          <w:sz w:val="24"/>
          <w:szCs w:val="24"/>
        </w:rPr>
        <w:t xml:space="preserve"> sintetizar en la necesidad que tenía el Estado de obtener recursos para satisfacer las necesidades apremiantes que tenía la nación originadas principalmente por el estado de guerra existente en esa época. La iniciativa de la Ley de Impuesto sobre la Renta sobre el superprovecho decía: </w:t>
      </w:r>
      <w:r w:rsidR="00311E21">
        <w:rPr>
          <w:rFonts w:ascii="Gill Sans MT" w:hAnsi="Gill Sans MT"/>
          <w:sz w:val="24"/>
          <w:szCs w:val="24"/>
        </w:rPr>
        <w:t>Abrirá</w:t>
      </w:r>
      <w:r>
        <w:rPr>
          <w:rFonts w:ascii="Gill Sans MT" w:hAnsi="Gill Sans MT"/>
          <w:sz w:val="24"/>
          <w:szCs w:val="24"/>
        </w:rPr>
        <w:t xml:space="preserve"> un nuevo </w:t>
      </w:r>
      <w:r w:rsidR="00311E21">
        <w:rPr>
          <w:rFonts w:ascii="Gill Sans MT" w:hAnsi="Gill Sans MT"/>
          <w:sz w:val="24"/>
          <w:szCs w:val="24"/>
        </w:rPr>
        <w:t>cauce</w:t>
      </w:r>
      <w:r>
        <w:rPr>
          <w:rFonts w:ascii="Gill Sans MT" w:hAnsi="Gill Sans MT"/>
          <w:sz w:val="24"/>
          <w:szCs w:val="24"/>
        </w:rPr>
        <w:t xml:space="preserve"> de justicia en el </w:t>
      </w:r>
      <w:r w:rsidR="00311E21">
        <w:rPr>
          <w:rFonts w:ascii="Gill Sans MT" w:hAnsi="Gill Sans MT"/>
          <w:sz w:val="24"/>
          <w:szCs w:val="24"/>
        </w:rPr>
        <w:t>régimen</w:t>
      </w:r>
      <w:r>
        <w:rPr>
          <w:rFonts w:ascii="Gill Sans MT" w:hAnsi="Gill Sans MT"/>
          <w:sz w:val="24"/>
          <w:szCs w:val="24"/>
        </w:rPr>
        <w:t xml:space="preserve"> tributario de la nación, al limitar en beneficio del Erario </w:t>
      </w:r>
      <w:r w:rsidR="00311E21">
        <w:rPr>
          <w:rFonts w:ascii="Gill Sans MT" w:hAnsi="Gill Sans MT"/>
          <w:sz w:val="24"/>
          <w:szCs w:val="24"/>
        </w:rPr>
        <w:t>Público</w:t>
      </w:r>
      <w:r>
        <w:rPr>
          <w:rFonts w:ascii="Gill Sans MT" w:hAnsi="Gill Sans MT"/>
          <w:sz w:val="24"/>
          <w:szCs w:val="24"/>
        </w:rPr>
        <w:t>, las ganancias excesivas que obtengan los contribuyentes de la cedula l de la Ley de Impuesto Sobre la Renta, es decir las personas físicas o morales que se dedican a actividades comerciales, industriales o agrícolas.</w:t>
      </w:r>
    </w:p>
    <w:p w:rsidR="00B246D1" w:rsidRDefault="00B246D1" w:rsidP="00FD6A01">
      <w:pPr>
        <w:spacing w:line="360" w:lineRule="auto"/>
        <w:rPr>
          <w:rFonts w:ascii="Gill Sans MT" w:hAnsi="Gill Sans MT"/>
          <w:sz w:val="24"/>
          <w:szCs w:val="24"/>
        </w:rPr>
      </w:pPr>
      <w:r>
        <w:rPr>
          <w:rFonts w:ascii="Gill Sans MT" w:hAnsi="Gill Sans MT"/>
          <w:sz w:val="24"/>
          <w:szCs w:val="24"/>
        </w:rPr>
        <w:t>Ley del 31 de di</w:t>
      </w:r>
      <w:r w:rsidR="005D2852">
        <w:rPr>
          <w:rFonts w:ascii="Gill Sans MT" w:hAnsi="Gill Sans MT"/>
          <w:sz w:val="24"/>
          <w:szCs w:val="24"/>
        </w:rPr>
        <w:t>ciembre de 1941 y su reglamento</w:t>
      </w:r>
      <w:r w:rsidR="002474C9">
        <w:rPr>
          <w:rFonts w:ascii="Gill Sans MT" w:hAnsi="Gill Sans MT"/>
          <w:sz w:val="24"/>
          <w:szCs w:val="24"/>
        </w:rPr>
        <w:t xml:space="preserve"> </w:t>
      </w:r>
      <w:r>
        <w:rPr>
          <w:rFonts w:ascii="Gill Sans MT" w:hAnsi="Gill Sans MT"/>
          <w:sz w:val="24"/>
          <w:szCs w:val="24"/>
        </w:rPr>
        <w:t xml:space="preserve">La reforma fundamental que implica el proyecto es la supresión del impuesto del superprovecho. La razón </w:t>
      </w:r>
      <w:r w:rsidR="00A973BA">
        <w:rPr>
          <w:rFonts w:ascii="Gill Sans MT" w:hAnsi="Gill Sans MT"/>
          <w:sz w:val="24"/>
          <w:szCs w:val="24"/>
        </w:rPr>
        <w:t xml:space="preserve">d esta medida radica en el </w:t>
      </w:r>
      <w:r w:rsidR="00311E21">
        <w:rPr>
          <w:rFonts w:ascii="Gill Sans MT" w:hAnsi="Gill Sans MT"/>
          <w:sz w:val="24"/>
          <w:szCs w:val="24"/>
        </w:rPr>
        <w:t>propósito</w:t>
      </w:r>
      <w:r>
        <w:rPr>
          <w:rFonts w:ascii="Gill Sans MT" w:hAnsi="Gill Sans MT"/>
          <w:sz w:val="24"/>
          <w:szCs w:val="24"/>
        </w:rPr>
        <w:t xml:space="preserve"> firme del gobierno federal </w:t>
      </w:r>
      <w:r w:rsidR="00A973BA">
        <w:rPr>
          <w:rFonts w:ascii="Gill Sans MT" w:hAnsi="Gill Sans MT"/>
          <w:sz w:val="24"/>
          <w:szCs w:val="24"/>
        </w:rPr>
        <w:t xml:space="preserve">de no limitar las utilidades </w:t>
      </w:r>
      <w:r w:rsidR="00311E21">
        <w:rPr>
          <w:rFonts w:ascii="Gill Sans MT" w:hAnsi="Gill Sans MT"/>
          <w:sz w:val="24"/>
          <w:szCs w:val="24"/>
        </w:rPr>
        <w:t xml:space="preserve">legítimas, en </w:t>
      </w:r>
      <w:r w:rsidR="00A973BA">
        <w:rPr>
          <w:rFonts w:ascii="Gill Sans MT" w:hAnsi="Gill Sans MT"/>
          <w:sz w:val="24"/>
          <w:szCs w:val="24"/>
        </w:rPr>
        <w:t xml:space="preserve">un momento en el que el país requiere en alto grado el impulso de la iniciativa y de la empresa privada. Sin embargo, para </w:t>
      </w:r>
      <w:r w:rsidR="00311E21">
        <w:rPr>
          <w:rFonts w:ascii="Gill Sans MT" w:hAnsi="Gill Sans MT"/>
          <w:sz w:val="24"/>
          <w:szCs w:val="24"/>
        </w:rPr>
        <w:t>compensar</w:t>
      </w:r>
      <w:r w:rsidR="00A973BA">
        <w:rPr>
          <w:rFonts w:ascii="Gill Sans MT" w:hAnsi="Gill Sans MT"/>
          <w:sz w:val="24"/>
          <w:szCs w:val="24"/>
        </w:rPr>
        <w:t xml:space="preserve"> la disminución de los gastos federales que </w:t>
      </w:r>
      <w:r w:rsidR="00311E21">
        <w:rPr>
          <w:rFonts w:ascii="Gill Sans MT" w:hAnsi="Gill Sans MT"/>
          <w:sz w:val="24"/>
          <w:szCs w:val="24"/>
        </w:rPr>
        <w:t>ocasiono</w:t>
      </w:r>
      <w:r w:rsidR="00A973BA">
        <w:rPr>
          <w:rFonts w:ascii="Gill Sans MT" w:hAnsi="Gill Sans MT"/>
          <w:sz w:val="24"/>
          <w:szCs w:val="24"/>
        </w:rPr>
        <w:t xml:space="preserve"> la supresión del impuesto mencionado se aumentaron las tasas de las diferentes tarifas cedulares. Esta ley volvió agrupar en cedulas a los diversos contribuyentes.</w:t>
      </w:r>
    </w:p>
    <w:p w:rsidR="00DF0C2B" w:rsidRDefault="00DF0C2B" w:rsidP="00FD6A01">
      <w:pPr>
        <w:spacing w:line="360" w:lineRule="auto"/>
        <w:rPr>
          <w:rFonts w:ascii="Gill Sans MT" w:hAnsi="Gill Sans MT"/>
          <w:sz w:val="24"/>
          <w:szCs w:val="24"/>
        </w:rPr>
      </w:pPr>
    </w:p>
    <w:p w:rsidR="00DF0C2B" w:rsidRDefault="00DF0C2B" w:rsidP="00FD6A01">
      <w:pPr>
        <w:spacing w:line="360" w:lineRule="auto"/>
        <w:rPr>
          <w:rFonts w:ascii="Gill Sans MT" w:hAnsi="Gill Sans MT"/>
          <w:sz w:val="24"/>
          <w:szCs w:val="24"/>
        </w:rPr>
      </w:pPr>
      <w:r>
        <w:rPr>
          <w:rFonts w:ascii="Gill Sans MT" w:hAnsi="Gill Sans MT"/>
          <w:sz w:val="24"/>
          <w:szCs w:val="24"/>
        </w:rPr>
        <w:t>Ley del 30 de diciembre de 1953 y su reglamento</w:t>
      </w:r>
    </w:p>
    <w:p w:rsidR="00DF0C2B" w:rsidRDefault="00DF0C2B" w:rsidP="00FD6A01">
      <w:pPr>
        <w:spacing w:line="360" w:lineRule="auto"/>
        <w:rPr>
          <w:rFonts w:ascii="Gill Sans MT" w:hAnsi="Gill Sans MT"/>
          <w:sz w:val="24"/>
          <w:szCs w:val="24"/>
        </w:rPr>
      </w:pPr>
      <w:r>
        <w:rPr>
          <w:rFonts w:ascii="Gill Sans MT" w:hAnsi="Gill Sans MT"/>
          <w:sz w:val="24"/>
          <w:szCs w:val="24"/>
        </w:rPr>
        <w:t xml:space="preserve">Se puede decir que en esta ley se perfeccionan las normas que </w:t>
      </w:r>
      <w:r w:rsidR="002474C9">
        <w:rPr>
          <w:rFonts w:ascii="Gill Sans MT" w:hAnsi="Gill Sans MT"/>
          <w:sz w:val="24"/>
          <w:szCs w:val="24"/>
        </w:rPr>
        <w:t>contuvieron las anteriores, sin</w:t>
      </w:r>
      <w:r w:rsidR="00455077">
        <w:rPr>
          <w:rFonts w:ascii="Gill Sans MT" w:hAnsi="Gill Sans MT"/>
          <w:sz w:val="24"/>
          <w:szCs w:val="24"/>
        </w:rPr>
        <w:t xml:space="preserve"> </w:t>
      </w:r>
      <w:r>
        <w:rPr>
          <w:rFonts w:ascii="Gill Sans MT" w:hAnsi="Gill Sans MT"/>
          <w:sz w:val="24"/>
          <w:szCs w:val="24"/>
        </w:rPr>
        <w:t>embrago, no significo transformación o evolución en la estructura del impuesto sobre la renta. Por primera vez se consignaron en la ley las deducciones que podían ha</w:t>
      </w:r>
      <w:r w:rsidR="005D60EF">
        <w:rPr>
          <w:rFonts w:ascii="Gill Sans MT" w:hAnsi="Gill Sans MT"/>
          <w:sz w:val="24"/>
          <w:szCs w:val="24"/>
        </w:rPr>
        <w:t>c</w:t>
      </w:r>
      <w:r>
        <w:rPr>
          <w:rFonts w:ascii="Gill Sans MT" w:hAnsi="Gill Sans MT"/>
          <w:sz w:val="24"/>
          <w:szCs w:val="24"/>
        </w:rPr>
        <w:t xml:space="preserve">er los contribuyentes para </w:t>
      </w:r>
      <w:r w:rsidR="005D60EF">
        <w:rPr>
          <w:rFonts w:ascii="Gill Sans MT" w:hAnsi="Gill Sans MT"/>
          <w:sz w:val="24"/>
          <w:szCs w:val="24"/>
        </w:rPr>
        <w:t>determinar</w:t>
      </w:r>
      <w:r>
        <w:rPr>
          <w:rFonts w:ascii="Gill Sans MT" w:hAnsi="Gill Sans MT"/>
          <w:sz w:val="24"/>
          <w:szCs w:val="24"/>
        </w:rPr>
        <w:t xml:space="preserve"> su utilidad gravable, lo cual constituyo un importante </w:t>
      </w:r>
      <w:r w:rsidR="00455077">
        <w:rPr>
          <w:rFonts w:ascii="Gill Sans MT" w:hAnsi="Gill Sans MT"/>
          <w:sz w:val="24"/>
          <w:szCs w:val="24"/>
        </w:rPr>
        <w:t>avance al</w:t>
      </w:r>
      <w:r>
        <w:rPr>
          <w:rFonts w:ascii="Gill Sans MT" w:hAnsi="Gill Sans MT"/>
          <w:sz w:val="24"/>
          <w:szCs w:val="24"/>
        </w:rPr>
        <w:t xml:space="preserve"> adecuarse a la obligación </w:t>
      </w:r>
      <w:r w:rsidR="005D60EF">
        <w:rPr>
          <w:rFonts w:ascii="Gill Sans MT" w:hAnsi="Gill Sans MT"/>
          <w:sz w:val="24"/>
          <w:szCs w:val="24"/>
        </w:rPr>
        <w:t>constitucional</w:t>
      </w:r>
      <w:r>
        <w:rPr>
          <w:rFonts w:ascii="Gill Sans MT" w:hAnsi="Gill Sans MT"/>
          <w:sz w:val="24"/>
          <w:szCs w:val="24"/>
        </w:rPr>
        <w:t xml:space="preserve"> de que las </w:t>
      </w:r>
      <w:r w:rsidR="005D60EF">
        <w:rPr>
          <w:rFonts w:ascii="Gill Sans MT" w:hAnsi="Gill Sans MT"/>
          <w:sz w:val="24"/>
          <w:szCs w:val="24"/>
        </w:rPr>
        <w:t>contribuciones deben establecerse en la ley y no en un reglamento. Esta ley sufrió sus principales modificaciones por decreto el 28 de diciembre de 1961y tuvo como principal adicción la Tasa Complementaria sobre ingresos Acumulables, la que, en materia, de impuesto personal trataba de corregir la desproporcionalidad e inequidad del sistema cedular.</w:t>
      </w:r>
    </w:p>
    <w:p w:rsidR="005D60EF" w:rsidRDefault="005D60EF" w:rsidP="00FD6A01">
      <w:pPr>
        <w:spacing w:line="360" w:lineRule="auto"/>
        <w:rPr>
          <w:rFonts w:ascii="Gill Sans MT" w:hAnsi="Gill Sans MT"/>
          <w:sz w:val="24"/>
          <w:szCs w:val="24"/>
        </w:rPr>
      </w:pPr>
    </w:p>
    <w:p w:rsidR="00DF0C2B" w:rsidRDefault="005D60EF" w:rsidP="00FD6A01">
      <w:pPr>
        <w:spacing w:line="360" w:lineRule="auto"/>
        <w:rPr>
          <w:rFonts w:ascii="Gill Sans MT" w:hAnsi="Gill Sans MT"/>
          <w:sz w:val="24"/>
          <w:szCs w:val="24"/>
        </w:rPr>
      </w:pPr>
      <w:r>
        <w:rPr>
          <w:rFonts w:ascii="Gill Sans MT" w:hAnsi="Gill Sans MT"/>
          <w:sz w:val="24"/>
          <w:szCs w:val="24"/>
        </w:rPr>
        <w:t>Ley del 30 de diciembre de 1964 y su reglamento</w:t>
      </w:r>
    </w:p>
    <w:p w:rsidR="001109C2" w:rsidRDefault="005D60EF" w:rsidP="00FD6A01">
      <w:pPr>
        <w:spacing w:line="360" w:lineRule="auto"/>
        <w:rPr>
          <w:rFonts w:ascii="Gill Sans MT" w:hAnsi="Gill Sans MT"/>
          <w:sz w:val="24"/>
          <w:szCs w:val="24"/>
        </w:rPr>
      </w:pPr>
      <w:r>
        <w:rPr>
          <w:rFonts w:ascii="Gill Sans MT" w:hAnsi="Gill Sans MT"/>
          <w:sz w:val="24"/>
          <w:szCs w:val="24"/>
        </w:rPr>
        <w:t xml:space="preserve">En esta ley, que estuvo en vigor dieciséis años, se abandonó por primera vez el sistema cedular y se </w:t>
      </w:r>
      <w:r w:rsidR="001109C2">
        <w:rPr>
          <w:rFonts w:ascii="Gill Sans MT" w:hAnsi="Gill Sans MT"/>
          <w:sz w:val="24"/>
          <w:szCs w:val="24"/>
        </w:rPr>
        <w:t>dividió</w:t>
      </w:r>
      <w:r>
        <w:rPr>
          <w:rFonts w:ascii="Gill Sans MT" w:hAnsi="Gill Sans MT"/>
          <w:sz w:val="24"/>
          <w:szCs w:val="24"/>
        </w:rPr>
        <w:t xml:space="preserve"> en dos títulos solamente: Uno par</w:t>
      </w:r>
      <w:r w:rsidR="001109C2">
        <w:rPr>
          <w:rFonts w:ascii="Gill Sans MT" w:hAnsi="Gill Sans MT"/>
          <w:sz w:val="24"/>
          <w:szCs w:val="24"/>
        </w:rPr>
        <w:t>a el impu</w:t>
      </w:r>
      <w:r>
        <w:rPr>
          <w:rFonts w:ascii="Gill Sans MT" w:hAnsi="Gill Sans MT"/>
          <w:sz w:val="24"/>
          <w:szCs w:val="24"/>
        </w:rPr>
        <w:t xml:space="preserve">esto al ingreso global de las empresas y otro para el ingreso de las personas físicas. Por </w:t>
      </w:r>
      <w:r w:rsidR="001109C2">
        <w:rPr>
          <w:rFonts w:ascii="Gill Sans MT" w:hAnsi="Gill Sans MT"/>
          <w:sz w:val="24"/>
          <w:szCs w:val="24"/>
        </w:rPr>
        <w:t>pri</w:t>
      </w:r>
      <w:r>
        <w:rPr>
          <w:rFonts w:ascii="Gill Sans MT" w:hAnsi="Gill Sans MT"/>
          <w:sz w:val="24"/>
          <w:szCs w:val="24"/>
        </w:rPr>
        <w:t xml:space="preserve">mera vez se hizo el intento de implantar un impuesto global aun cuando no se </w:t>
      </w:r>
      <w:r w:rsidR="001109C2">
        <w:rPr>
          <w:rFonts w:ascii="Gill Sans MT" w:hAnsi="Gill Sans MT"/>
          <w:sz w:val="24"/>
          <w:szCs w:val="24"/>
        </w:rPr>
        <w:t>logró</w:t>
      </w:r>
      <w:r>
        <w:rPr>
          <w:rFonts w:ascii="Gill Sans MT" w:hAnsi="Gill Sans MT"/>
          <w:sz w:val="24"/>
          <w:szCs w:val="24"/>
        </w:rPr>
        <w:t xml:space="preserve"> del todo, porque dejaban de acumularse o adicionarse a los demás ingresos del contribuyente persona física, los intereses que obtuviera proveniente de ciertos valores de rendimiento fijo, </w:t>
      </w:r>
      <w:r w:rsidR="001109C2">
        <w:rPr>
          <w:rFonts w:ascii="Gill Sans MT" w:hAnsi="Gill Sans MT"/>
          <w:sz w:val="24"/>
          <w:szCs w:val="24"/>
        </w:rPr>
        <w:t>así</w:t>
      </w:r>
      <w:r>
        <w:rPr>
          <w:rFonts w:ascii="Gill Sans MT" w:hAnsi="Gill Sans MT"/>
          <w:sz w:val="24"/>
          <w:szCs w:val="24"/>
        </w:rPr>
        <w:t xml:space="preserve"> como los ingresos que </w:t>
      </w:r>
      <w:r w:rsidR="001109C2">
        <w:rPr>
          <w:rFonts w:ascii="Gill Sans MT" w:hAnsi="Gill Sans MT"/>
          <w:sz w:val="24"/>
          <w:szCs w:val="24"/>
        </w:rPr>
        <w:t>percibiera</w:t>
      </w:r>
      <w:r>
        <w:rPr>
          <w:rFonts w:ascii="Gill Sans MT" w:hAnsi="Gill Sans MT"/>
          <w:sz w:val="24"/>
          <w:szCs w:val="24"/>
        </w:rPr>
        <w:t xml:space="preserve"> por conceptos de dividendos y los que </w:t>
      </w:r>
      <w:r w:rsidR="001109C2">
        <w:rPr>
          <w:rFonts w:ascii="Gill Sans MT" w:hAnsi="Gill Sans MT"/>
          <w:sz w:val="24"/>
          <w:szCs w:val="24"/>
        </w:rPr>
        <w:t>derivan</w:t>
      </w:r>
      <w:r>
        <w:rPr>
          <w:rFonts w:ascii="Gill Sans MT" w:hAnsi="Gill Sans MT"/>
          <w:sz w:val="24"/>
          <w:szCs w:val="24"/>
        </w:rPr>
        <w:t xml:space="preserve"> de sus actividades empresariale</w:t>
      </w:r>
      <w:r w:rsidR="001109C2">
        <w:rPr>
          <w:rFonts w:ascii="Gill Sans MT" w:hAnsi="Gill Sans MT"/>
          <w:sz w:val="24"/>
          <w:szCs w:val="24"/>
        </w:rPr>
        <w:t>s. Fue a partir de 1978 cuando se adiciono a esta ley la tasa complementaria sobre utilidades brutas extraordinarias, la cual estuvo en vigor unos años solamente.</w:t>
      </w:r>
    </w:p>
    <w:p w:rsidR="001109C2" w:rsidRDefault="001109C2" w:rsidP="00FD6A01">
      <w:pPr>
        <w:spacing w:line="360" w:lineRule="auto"/>
        <w:rPr>
          <w:rFonts w:ascii="Gill Sans MT" w:hAnsi="Gill Sans MT"/>
          <w:sz w:val="24"/>
          <w:szCs w:val="24"/>
        </w:rPr>
      </w:pPr>
      <w:r>
        <w:rPr>
          <w:rFonts w:ascii="Gill Sans MT" w:hAnsi="Gill Sans MT"/>
          <w:sz w:val="24"/>
          <w:szCs w:val="24"/>
        </w:rPr>
        <w:t>Ley de impuesto de 1987</w:t>
      </w:r>
    </w:p>
    <w:p w:rsidR="001109C2" w:rsidRDefault="001109C2" w:rsidP="00FD6A01">
      <w:pPr>
        <w:spacing w:line="360" w:lineRule="auto"/>
        <w:rPr>
          <w:rFonts w:ascii="Gill Sans MT" w:hAnsi="Gill Sans MT"/>
          <w:sz w:val="24"/>
          <w:szCs w:val="24"/>
        </w:rPr>
      </w:pPr>
      <w:r>
        <w:rPr>
          <w:rFonts w:ascii="Gill Sans MT" w:hAnsi="Gill Sans MT"/>
          <w:sz w:val="24"/>
          <w:szCs w:val="24"/>
        </w:rPr>
        <w:t xml:space="preserve">A partir de 1987 se amplió la base gravable de sociedades mercantiles a través de incorporación en el procedimiento de cálculo de la utilidad grabable el efecto grabable que la inflación origina en los créditos que conceden los contribuyentes y en las obligaciones que contraen. Sin embrago para mitigar el efecto que eso tendría en la utilidad en la base gravable si hicieron ajustes en la ley para: 1. Permitir la deducción de la adquisición de inventarios en </w:t>
      </w:r>
      <w:r>
        <w:rPr>
          <w:rFonts w:ascii="Gill Sans MT" w:hAnsi="Gill Sans MT"/>
          <w:sz w:val="24"/>
          <w:szCs w:val="24"/>
        </w:rPr>
        <w:lastRenderedPageBreak/>
        <w:t>el propio ejercicio independientemente de la época que se vendieran.</w:t>
      </w:r>
      <w:r w:rsidR="006E77D5">
        <w:rPr>
          <w:rFonts w:ascii="Gill Sans MT" w:hAnsi="Gill Sans MT"/>
          <w:sz w:val="24"/>
          <w:szCs w:val="24"/>
        </w:rPr>
        <w:t xml:space="preserve"> 2. Dar efecto fiscal a la reevaluación que la inflación produce en los bienes de activo fijo. 3. Permitir la reevaluación por efecto de la inflación de las pérdidas fiscales que podían deducirse de la utilidad gravable de los ejercicios siguientes. La entrada súbita de este sistema pudo haber ocasionado serios quebrantos financieros en las empresas, por tal motivo se dispuso que el nuevo sistema fuera cobrando paulatinamente plena vigencia. Para tal fin el contribuyente tendría que determinar anualmente dos </w:t>
      </w:r>
      <w:r w:rsidR="00311E21">
        <w:rPr>
          <w:rFonts w:ascii="Gill Sans MT" w:hAnsi="Gill Sans MT"/>
          <w:sz w:val="24"/>
          <w:szCs w:val="24"/>
        </w:rPr>
        <w:t>bases</w:t>
      </w:r>
      <w:r w:rsidR="006E77D5">
        <w:rPr>
          <w:rFonts w:ascii="Gill Sans MT" w:hAnsi="Gill Sans MT"/>
          <w:sz w:val="24"/>
          <w:szCs w:val="24"/>
        </w:rPr>
        <w:t xml:space="preserve"> gravables diferentes. La base tradicional y la nueva.</w:t>
      </w:r>
    </w:p>
    <w:p w:rsidR="006E77D5" w:rsidRDefault="006E77D5" w:rsidP="00FD6A01">
      <w:pPr>
        <w:spacing w:line="360" w:lineRule="auto"/>
        <w:rPr>
          <w:rFonts w:ascii="Gill Sans MT" w:hAnsi="Gill Sans MT"/>
          <w:sz w:val="24"/>
          <w:szCs w:val="24"/>
        </w:rPr>
      </w:pPr>
      <w:r>
        <w:rPr>
          <w:rFonts w:ascii="Gill Sans MT" w:hAnsi="Gill Sans MT"/>
          <w:sz w:val="24"/>
          <w:szCs w:val="24"/>
        </w:rPr>
        <w:t>Ley de impuesto de 1991</w:t>
      </w:r>
    </w:p>
    <w:p w:rsidR="006E77D5" w:rsidRDefault="006E77D5" w:rsidP="00FD6A01">
      <w:pPr>
        <w:spacing w:line="360" w:lineRule="auto"/>
        <w:rPr>
          <w:rFonts w:ascii="Gill Sans MT" w:hAnsi="Gill Sans MT"/>
          <w:sz w:val="24"/>
          <w:szCs w:val="24"/>
        </w:rPr>
      </w:pPr>
      <w:r>
        <w:rPr>
          <w:rFonts w:ascii="Gill Sans MT" w:hAnsi="Gill Sans MT"/>
          <w:sz w:val="24"/>
          <w:szCs w:val="24"/>
        </w:rPr>
        <w:t>Seria hasta 1991 cuando definitivamente cobrarían plena vigencia las reglas para determinar la utilidad en la base nueva porque se abandonarían totalmente las reglas relativas a la base tradicional, esta ley no se</w:t>
      </w:r>
      <w:r w:rsidR="00D84780">
        <w:rPr>
          <w:rFonts w:ascii="Gill Sans MT" w:hAnsi="Gill Sans MT"/>
          <w:sz w:val="24"/>
          <w:szCs w:val="24"/>
        </w:rPr>
        <w:t xml:space="preserve"> reforma, pero si cabe destacar que surgen sin embrago reglas y disposiciones de carácter general, que se adicionan a la ley esto es lo que conocemos Miscelánea Fiscal.</w:t>
      </w:r>
    </w:p>
    <w:p w:rsidR="00D84780" w:rsidRDefault="006D39B2" w:rsidP="00FD6A01">
      <w:pPr>
        <w:spacing w:line="360" w:lineRule="auto"/>
        <w:rPr>
          <w:rFonts w:ascii="Gill Sans MT" w:hAnsi="Gill Sans MT"/>
          <w:sz w:val="24"/>
          <w:szCs w:val="24"/>
        </w:rPr>
      </w:pPr>
      <w:r>
        <w:rPr>
          <w:rFonts w:ascii="Gill Sans MT" w:hAnsi="Gill Sans MT"/>
          <w:sz w:val="24"/>
          <w:szCs w:val="24"/>
        </w:rPr>
        <w:t>Ley de I</w:t>
      </w:r>
      <w:r w:rsidR="00D84780">
        <w:rPr>
          <w:rFonts w:ascii="Gill Sans MT" w:hAnsi="Gill Sans MT"/>
          <w:sz w:val="24"/>
          <w:szCs w:val="24"/>
        </w:rPr>
        <w:t>mpuestos 2002</w:t>
      </w:r>
    </w:p>
    <w:p w:rsidR="00D84780" w:rsidRDefault="00D84780" w:rsidP="00FD6A01">
      <w:pPr>
        <w:spacing w:line="360" w:lineRule="auto"/>
        <w:rPr>
          <w:rFonts w:ascii="Gill Sans MT" w:hAnsi="Gill Sans MT"/>
          <w:sz w:val="24"/>
          <w:szCs w:val="24"/>
        </w:rPr>
      </w:pPr>
      <w:r>
        <w:rPr>
          <w:rFonts w:ascii="Gill Sans MT" w:hAnsi="Gill Sans MT"/>
          <w:sz w:val="24"/>
          <w:szCs w:val="24"/>
        </w:rPr>
        <w:t>Esta nueva ley, reestructura a la ley anterior e incorporan disposiciones de reglas misceláneas, jurisprudencia y reglamentarias e incluyen un título especifico de empresas multinacionales.</w:t>
      </w:r>
    </w:p>
    <w:p w:rsidR="00D84780" w:rsidRPr="00455077" w:rsidRDefault="00455077" w:rsidP="00FD6A01">
      <w:pPr>
        <w:spacing w:line="360" w:lineRule="auto"/>
        <w:rPr>
          <w:rFonts w:ascii="Gill Sans MT" w:hAnsi="Gill Sans MT"/>
          <w:sz w:val="28"/>
          <w:szCs w:val="28"/>
        </w:rPr>
      </w:pPr>
      <w:r w:rsidRPr="00455077">
        <w:rPr>
          <w:rFonts w:ascii="Gill Sans MT" w:hAnsi="Gill Sans MT"/>
          <w:sz w:val="28"/>
          <w:szCs w:val="28"/>
        </w:rPr>
        <w:t>ELEMENTOS DEL IMPUESTO SOBRE LA RENTA</w:t>
      </w:r>
    </w:p>
    <w:p w:rsidR="00D84780" w:rsidRDefault="00D84780" w:rsidP="00FD6A01">
      <w:pPr>
        <w:spacing w:line="360" w:lineRule="auto"/>
        <w:rPr>
          <w:rFonts w:ascii="Gill Sans MT" w:hAnsi="Gill Sans MT"/>
          <w:sz w:val="24"/>
          <w:szCs w:val="24"/>
        </w:rPr>
      </w:pPr>
      <w:r>
        <w:rPr>
          <w:rFonts w:ascii="Gill Sans MT" w:hAnsi="Gill Sans MT"/>
          <w:sz w:val="24"/>
          <w:szCs w:val="24"/>
        </w:rPr>
        <w:t>Capítulo I de la Ley de Impuesto Sobre la Renta contiene las disposiciones generales, que se aplican a todos los títulos de la ley siempre y cuando no haya una disposición especifica.</w:t>
      </w:r>
    </w:p>
    <w:p w:rsidR="00D84780" w:rsidRDefault="00D84780" w:rsidP="00FD6A01">
      <w:pPr>
        <w:spacing w:line="360" w:lineRule="auto"/>
        <w:rPr>
          <w:rFonts w:ascii="Gill Sans MT" w:hAnsi="Gill Sans MT"/>
          <w:sz w:val="24"/>
          <w:szCs w:val="24"/>
        </w:rPr>
      </w:pPr>
      <w:r>
        <w:rPr>
          <w:rFonts w:ascii="Gill Sans MT" w:hAnsi="Gill Sans MT"/>
          <w:sz w:val="24"/>
          <w:szCs w:val="24"/>
        </w:rPr>
        <w:t xml:space="preserve">El </w:t>
      </w:r>
      <w:r w:rsidR="006D39B2">
        <w:rPr>
          <w:rFonts w:ascii="Gill Sans MT" w:hAnsi="Gill Sans MT"/>
          <w:sz w:val="24"/>
          <w:szCs w:val="24"/>
        </w:rPr>
        <w:t>artículo 1</w:t>
      </w:r>
      <w:r>
        <w:rPr>
          <w:rFonts w:ascii="Gill Sans MT" w:hAnsi="Gill Sans MT"/>
          <w:sz w:val="24"/>
          <w:szCs w:val="24"/>
        </w:rPr>
        <w:t xml:space="preserve"> de la Ley de Impuesto Sobre La Renta señala que las personas físicas y morales están obligados al pago de impuesto sobre la renta.</w:t>
      </w:r>
    </w:p>
    <w:p w:rsidR="00311E21" w:rsidRDefault="006D39B2" w:rsidP="00FD6A01">
      <w:pPr>
        <w:spacing w:line="360" w:lineRule="auto"/>
        <w:rPr>
          <w:rFonts w:ascii="Gill Sans MT" w:hAnsi="Gill Sans MT"/>
          <w:sz w:val="24"/>
          <w:szCs w:val="24"/>
        </w:rPr>
      </w:pPr>
      <w:r>
        <w:rPr>
          <w:rFonts w:ascii="Gill Sans MT" w:hAnsi="Gill Sans MT"/>
          <w:sz w:val="24"/>
          <w:szCs w:val="24"/>
        </w:rPr>
        <w:t>Para que una persona se convierta en un sujeto obligado o contribuyente del Impuesto sobre la Renta en México, son los criterios que causan la condicionan la causa del impuesto con motivo de la percepción de ingresos los cuales son: La residencia del sujeto, la posesión de un establecimiento permanente en el país y la ubicación de la fuente de riqueza de la que provenga el ingreso. Con esto observamos que la nacionalidad mexicana ha dejado de ser el criterio determinante de causación del Impuesto</w:t>
      </w:r>
      <w:r w:rsidR="0099436D">
        <w:rPr>
          <w:rFonts w:ascii="Gill Sans MT" w:hAnsi="Gill Sans MT"/>
          <w:sz w:val="24"/>
          <w:szCs w:val="24"/>
        </w:rPr>
        <w:t xml:space="preserve"> Sobre La Renta Mexicano.</w:t>
      </w:r>
    </w:p>
    <w:p w:rsidR="0099436D" w:rsidRDefault="00311E21" w:rsidP="00FD6A01">
      <w:pPr>
        <w:spacing w:line="360" w:lineRule="auto"/>
        <w:rPr>
          <w:rFonts w:ascii="Gill Sans MT" w:hAnsi="Gill Sans MT"/>
          <w:sz w:val="24"/>
          <w:szCs w:val="24"/>
        </w:rPr>
      </w:pPr>
      <w:r>
        <w:rPr>
          <w:rFonts w:ascii="Gill Sans MT" w:hAnsi="Gill Sans MT"/>
          <w:sz w:val="24"/>
          <w:szCs w:val="24"/>
        </w:rPr>
        <w:lastRenderedPageBreak/>
        <w:t xml:space="preserve">Las deducciones autorizadas </w:t>
      </w:r>
    </w:p>
    <w:p w:rsidR="00311E21" w:rsidRDefault="0099436D" w:rsidP="00FD6A01">
      <w:pPr>
        <w:spacing w:line="360" w:lineRule="auto"/>
        <w:rPr>
          <w:rFonts w:ascii="Gill Sans MT" w:hAnsi="Gill Sans MT"/>
          <w:sz w:val="24"/>
          <w:szCs w:val="24"/>
        </w:rPr>
      </w:pPr>
      <w:r>
        <w:rPr>
          <w:rFonts w:ascii="Gill Sans MT" w:hAnsi="Gill Sans MT"/>
          <w:sz w:val="24"/>
          <w:szCs w:val="24"/>
        </w:rPr>
        <w:t>La ley nos habla que tenemos que tenemos la opción de deducciones autorizadas, que significa una forma de disminuir el pago de Impuesto Sobre La Renta.</w:t>
      </w:r>
    </w:p>
    <w:p w:rsidR="0099436D" w:rsidRDefault="0099436D" w:rsidP="00FD6A01">
      <w:pPr>
        <w:spacing w:line="360" w:lineRule="auto"/>
        <w:rPr>
          <w:rFonts w:ascii="Gill Sans MT" w:hAnsi="Gill Sans MT"/>
          <w:sz w:val="24"/>
          <w:szCs w:val="24"/>
        </w:rPr>
      </w:pPr>
      <w:r w:rsidRPr="0099436D">
        <w:rPr>
          <w:rFonts w:ascii="Gill Sans MT" w:hAnsi="Gill Sans MT"/>
          <w:sz w:val="24"/>
          <w:szCs w:val="24"/>
        </w:rPr>
        <w:t>a)</w:t>
      </w:r>
      <w:r>
        <w:rPr>
          <w:rFonts w:ascii="Gill Sans MT" w:hAnsi="Gill Sans MT"/>
          <w:sz w:val="24"/>
          <w:szCs w:val="24"/>
        </w:rPr>
        <w:t xml:space="preserve"> </w:t>
      </w:r>
      <w:r w:rsidRPr="0099436D">
        <w:rPr>
          <w:rFonts w:ascii="Gill Sans MT" w:hAnsi="Gill Sans MT"/>
          <w:sz w:val="24"/>
          <w:szCs w:val="24"/>
        </w:rPr>
        <w:t xml:space="preserve">Las </w:t>
      </w:r>
      <w:r>
        <w:rPr>
          <w:rFonts w:ascii="Gill Sans MT" w:hAnsi="Gill Sans MT"/>
          <w:sz w:val="24"/>
          <w:szCs w:val="24"/>
        </w:rPr>
        <w:t>devoluciones, descuentos, bonificaciones sobre venta.</w:t>
      </w:r>
    </w:p>
    <w:p w:rsidR="0099436D" w:rsidRDefault="0099436D" w:rsidP="00FD6A01">
      <w:pPr>
        <w:spacing w:line="360" w:lineRule="auto"/>
        <w:rPr>
          <w:rFonts w:ascii="Gill Sans MT" w:hAnsi="Gill Sans MT"/>
          <w:sz w:val="24"/>
          <w:szCs w:val="24"/>
        </w:rPr>
      </w:pPr>
      <w:r>
        <w:rPr>
          <w:rFonts w:ascii="Gill Sans MT" w:hAnsi="Gill Sans MT"/>
          <w:sz w:val="24"/>
          <w:szCs w:val="24"/>
        </w:rPr>
        <w:t>b) adquisición de mercancía, materia prima, productos semiterminados, y terminados</w:t>
      </w:r>
    </w:p>
    <w:p w:rsidR="0099436D" w:rsidRDefault="0099436D" w:rsidP="00FD6A01">
      <w:pPr>
        <w:spacing w:line="360" w:lineRule="auto"/>
        <w:rPr>
          <w:rFonts w:ascii="Gill Sans MT" w:hAnsi="Gill Sans MT"/>
          <w:sz w:val="24"/>
          <w:szCs w:val="24"/>
        </w:rPr>
      </w:pPr>
      <w:r>
        <w:rPr>
          <w:rFonts w:ascii="Gill Sans MT" w:hAnsi="Gill Sans MT"/>
          <w:sz w:val="24"/>
          <w:szCs w:val="24"/>
        </w:rPr>
        <w:t>c) gastos</w:t>
      </w:r>
    </w:p>
    <w:p w:rsidR="0099436D" w:rsidRDefault="0099436D" w:rsidP="00FD6A01">
      <w:pPr>
        <w:spacing w:line="360" w:lineRule="auto"/>
        <w:rPr>
          <w:rFonts w:ascii="Gill Sans MT" w:hAnsi="Gill Sans MT"/>
          <w:sz w:val="24"/>
          <w:szCs w:val="24"/>
        </w:rPr>
      </w:pPr>
      <w:r>
        <w:rPr>
          <w:rFonts w:ascii="Gill Sans MT" w:hAnsi="Gill Sans MT"/>
          <w:sz w:val="24"/>
          <w:szCs w:val="24"/>
        </w:rPr>
        <w:t xml:space="preserve">d) inversiones </w:t>
      </w:r>
    </w:p>
    <w:p w:rsidR="0099436D" w:rsidRDefault="0099436D" w:rsidP="00FD6A01">
      <w:pPr>
        <w:spacing w:line="360" w:lineRule="auto"/>
        <w:rPr>
          <w:rFonts w:ascii="Gill Sans MT" w:hAnsi="Gill Sans MT"/>
          <w:sz w:val="24"/>
          <w:szCs w:val="24"/>
        </w:rPr>
      </w:pPr>
      <w:r>
        <w:rPr>
          <w:rFonts w:ascii="Gill Sans MT" w:hAnsi="Gill Sans MT"/>
          <w:sz w:val="24"/>
          <w:szCs w:val="24"/>
        </w:rPr>
        <w:t>e) créditos incobrables, y las perdidas por caso fortuito</w:t>
      </w:r>
    </w:p>
    <w:p w:rsidR="0099436D" w:rsidRDefault="0099436D" w:rsidP="00FD6A01">
      <w:pPr>
        <w:spacing w:line="360" w:lineRule="auto"/>
        <w:rPr>
          <w:rFonts w:ascii="Gill Sans MT" w:hAnsi="Gill Sans MT"/>
          <w:sz w:val="24"/>
          <w:szCs w:val="24"/>
        </w:rPr>
      </w:pPr>
      <w:r>
        <w:rPr>
          <w:rFonts w:ascii="Gill Sans MT" w:hAnsi="Gill Sans MT"/>
          <w:sz w:val="24"/>
          <w:szCs w:val="24"/>
        </w:rPr>
        <w:t xml:space="preserve">f) creación de reservas para fondos de pensión y jubilaciones </w:t>
      </w:r>
    </w:p>
    <w:p w:rsidR="0099436D" w:rsidRDefault="0099436D" w:rsidP="00FD6A01">
      <w:pPr>
        <w:spacing w:line="360" w:lineRule="auto"/>
        <w:rPr>
          <w:rFonts w:ascii="Gill Sans MT" w:hAnsi="Gill Sans MT"/>
          <w:sz w:val="24"/>
          <w:szCs w:val="24"/>
        </w:rPr>
      </w:pPr>
      <w:r>
        <w:rPr>
          <w:rFonts w:ascii="Gill Sans MT" w:hAnsi="Gill Sans MT"/>
          <w:sz w:val="24"/>
          <w:szCs w:val="24"/>
        </w:rPr>
        <w:t>g) cuotas pagadas por patrones al IMSS</w:t>
      </w:r>
    </w:p>
    <w:p w:rsidR="0099436D" w:rsidRDefault="0099436D" w:rsidP="00FD6A01">
      <w:pPr>
        <w:spacing w:line="360" w:lineRule="auto"/>
        <w:rPr>
          <w:rFonts w:ascii="Gill Sans MT" w:hAnsi="Gill Sans MT"/>
          <w:sz w:val="24"/>
          <w:szCs w:val="24"/>
        </w:rPr>
      </w:pPr>
      <w:r>
        <w:rPr>
          <w:rFonts w:ascii="Gill Sans MT" w:hAnsi="Gill Sans MT"/>
          <w:sz w:val="24"/>
          <w:szCs w:val="24"/>
        </w:rPr>
        <w:t>H) intereses devengados</w:t>
      </w:r>
    </w:p>
    <w:p w:rsidR="0099436D" w:rsidRDefault="0099436D" w:rsidP="00FD6A01">
      <w:pPr>
        <w:spacing w:line="360" w:lineRule="auto"/>
        <w:rPr>
          <w:rFonts w:ascii="Gill Sans MT" w:hAnsi="Gill Sans MT"/>
          <w:sz w:val="24"/>
          <w:szCs w:val="24"/>
        </w:rPr>
      </w:pPr>
      <w:r>
        <w:rPr>
          <w:rFonts w:ascii="Gill Sans MT" w:hAnsi="Gill Sans MT"/>
          <w:sz w:val="24"/>
          <w:szCs w:val="24"/>
        </w:rPr>
        <w:t xml:space="preserve">i) ajuste anual por inflación </w:t>
      </w:r>
    </w:p>
    <w:p w:rsidR="0099436D" w:rsidRDefault="0099436D" w:rsidP="00FD6A01">
      <w:pPr>
        <w:spacing w:line="360" w:lineRule="auto"/>
        <w:rPr>
          <w:rFonts w:ascii="Gill Sans MT" w:hAnsi="Gill Sans MT"/>
          <w:sz w:val="24"/>
          <w:szCs w:val="24"/>
        </w:rPr>
      </w:pPr>
      <w:r>
        <w:rPr>
          <w:rFonts w:ascii="Gill Sans MT" w:hAnsi="Gill Sans MT"/>
          <w:sz w:val="24"/>
          <w:szCs w:val="24"/>
        </w:rPr>
        <w:t>j) anticipos y rendimientos pagados a las sociedades cooperativas de producción, asociación y sociedades civiles.</w:t>
      </w:r>
      <w:sdt>
        <w:sdtPr>
          <w:rPr>
            <w:rFonts w:ascii="Gill Sans MT" w:hAnsi="Gill Sans MT"/>
            <w:sz w:val="24"/>
            <w:szCs w:val="24"/>
          </w:rPr>
          <w:id w:val="688882748"/>
          <w:citation/>
        </w:sdtPr>
        <w:sdtEndPr/>
        <w:sdtContent>
          <w:r w:rsidR="008C3FDF">
            <w:rPr>
              <w:rFonts w:ascii="Gill Sans MT" w:hAnsi="Gill Sans MT"/>
              <w:sz w:val="24"/>
              <w:szCs w:val="24"/>
            </w:rPr>
            <w:fldChar w:fldCharType="begin"/>
          </w:r>
          <w:r w:rsidR="008C3FDF">
            <w:rPr>
              <w:rFonts w:ascii="Gill Sans MT" w:hAnsi="Gill Sans MT"/>
              <w:sz w:val="24"/>
              <w:szCs w:val="24"/>
            </w:rPr>
            <w:instrText xml:space="preserve"> CITATION Enr \l 2058 </w:instrText>
          </w:r>
          <w:r w:rsidR="008C3FDF">
            <w:rPr>
              <w:rFonts w:ascii="Gill Sans MT" w:hAnsi="Gill Sans MT"/>
              <w:sz w:val="24"/>
              <w:szCs w:val="24"/>
            </w:rPr>
            <w:fldChar w:fldCharType="separate"/>
          </w:r>
          <w:r w:rsidR="008C3FDF">
            <w:rPr>
              <w:rFonts w:ascii="Gill Sans MT" w:hAnsi="Gill Sans MT"/>
              <w:noProof/>
              <w:sz w:val="24"/>
              <w:szCs w:val="24"/>
            </w:rPr>
            <w:t xml:space="preserve"> </w:t>
          </w:r>
          <w:r w:rsidR="008C3FDF" w:rsidRPr="008C3FDF">
            <w:rPr>
              <w:rFonts w:ascii="Gill Sans MT" w:hAnsi="Gill Sans MT"/>
              <w:noProof/>
              <w:sz w:val="24"/>
              <w:szCs w:val="24"/>
            </w:rPr>
            <w:t>(Calvo)</w:t>
          </w:r>
          <w:r w:rsidR="008C3FDF">
            <w:rPr>
              <w:rFonts w:ascii="Gill Sans MT" w:hAnsi="Gill Sans MT"/>
              <w:sz w:val="24"/>
              <w:szCs w:val="24"/>
            </w:rPr>
            <w:fldChar w:fldCharType="end"/>
          </w:r>
        </w:sdtContent>
      </w:sdt>
    </w:p>
    <w:p w:rsidR="0099436D" w:rsidRDefault="0099436D" w:rsidP="00FD6A01">
      <w:pPr>
        <w:spacing w:line="360" w:lineRule="auto"/>
        <w:rPr>
          <w:rFonts w:ascii="Gill Sans MT" w:hAnsi="Gill Sans MT"/>
          <w:sz w:val="24"/>
          <w:szCs w:val="24"/>
        </w:rPr>
      </w:pPr>
    </w:p>
    <w:p w:rsidR="00DB1997" w:rsidRDefault="00BB4B8D" w:rsidP="00FD6A01">
      <w:pPr>
        <w:spacing w:line="360" w:lineRule="auto"/>
        <w:rPr>
          <w:rFonts w:ascii="Gill Sans MT" w:hAnsi="Gill Sans MT"/>
          <w:sz w:val="24"/>
          <w:szCs w:val="24"/>
        </w:rPr>
      </w:pPr>
      <w:r>
        <w:rPr>
          <w:rFonts w:ascii="Gill Sans MT" w:hAnsi="Gill Sans MT"/>
          <w:sz w:val="24"/>
          <w:szCs w:val="24"/>
        </w:rPr>
        <w:t>Requisitos</w:t>
      </w:r>
      <w:r w:rsidR="00EB5E72">
        <w:rPr>
          <w:rFonts w:ascii="Gill Sans MT" w:hAnsi="Gill Sans MT"/>
          <w:sz w:val="24"/>
          <w:szCs w:val="24"/>
        </w:rPr>
        <w:t xml:space="preserve"> de las deducciones autorizadas.</w:t>
      </w:r>
    </w:p>
    <w:p w:rsidR="00EB5E72" w:rsidRDefault="00EB5E72" w:rsidP="00FD6A01">
      <w:pPr>
        <w:spacing w:line="360" w:lineRule="auto"/>
        <w:rPr>
          <w:rFonts w:ascii="Gill Sans MT" w:hAnsi="Gill Sans MT"/>
          <w:sz w:val="24"/>
          <w:szCs w:val="24"/>
        </w:rPr>
      </w:pPr>
      <w:r>
        <w:rPr>
          <w:rFonts w:ascii="Gill Sans MT" w:hAnsi="Gill Sans MT"/>
          <w:sz w:val="24"/>
          <w:szCs w:val="24"/>
        </w:rPr>
        <w:t xml:space="preserve">De conformidad con el artículo 105 de la LISR, las </w:t>
      </w:r>
      <w:r w:rsidR="0087664F">
        <w:rPr>
          <w:rFonts w:ascii="Gill Sans MT" w:hAnsi="Gill Sans MT"/>
          <w:sz w:val="24"/>
          <w:szCs w:val="24"/>
        </w:rPr>
        <w:t>deducciones autorizadas además</w:t>
      </w:r>
      <w:r>
        <w:rPr>
          <w:rFonts w:ascii="Gill Sans MT" w:hAnsi="Gill Sans MT"/>
          <w:sz w:val="24"/>
          <w:szCs w:val="24"/>
        </w:rPr>
        <w:t xml:space="preserve"> de cumplir con los requisitos establecido en otras disposiciones fiscales deberán reunir lo siguiente.</w:t>
      </w:r>
      <w:sdt>
        <w:sdtPr>
          <w:rPr>
            <w:rFonts w:ascii="Gill Sans MT" w:hAnsi="Gill Sans MT"/>
            <w:sz w:val="24"/>
            <w:szCs w:val="24"/>
          </w:rPr>
          <w:id w:val="1422376285"/>
          <w:citation/>
        </w:sdtPr>
        <w:sdtEndPr/>
        <w:sdtContent>
          <w:r w:rsidR="00737704">
            <w:rPr>
              <w:rFonts w:ascii="Gill Sans MT" w:hAnsi="Gill Sans MT"/>
              <w:sz w:val="24"/>
              <w:szCs w:val="24"/>
            </w:rPr>
            <w:fldChar w:fldCharType="begin"/>
          </w:r>
          <w:r w:rsidR="00737704">
            <w:rPr>
              <w:rFonts w:ascii="Gill Sans MT" w:hAnsi="Gill Sans MT"/>
              <w:sz w:val="24"/>
              <w:szCs w:val="24"/>
            </w:rPr>
            <w:instrText xml:space="preserve"> CITATION LIS3 \l 2058 </w:instrText>
          </w:r>
          <w:r w:rsidR="00737704">
            <w:rPr>
              <w:rFonts w:ascii="Gill Sans MT" w:hAnsi="Gill Sans MT"/>
              <w:sz w:val="24"/>
              <w:szCs w:val="24"/>
            </w:rPr>
            <w:fldChar w:fldCharType="separate"/>
          </w:r>
          <w:r w:rsidR="00737704">
            <w:rPr>
              <w:rFonts w:ascii="Gill Sans MT" w:hAnsi="Gill Sans MT"/>
              <w:noProof/>
              <w:sz w:val="24"/>
              <w:szCs w:val="24"/>
            </w:rPr>
            <w:t xml:space="preserve"> </w:t>
          </w:r>
          <w:r w:rsidR="00737704" w:rsidRPr="00737704">
            <w:rPr>
              <w:rFonts w:ascii="Gill Sans MT" w:hAnsi="Gill Sans MT"/>
              <w:noProof/>
              <w:sz w:val="24"/>
              <w:szCs w:val="24"/>
            </w:rPr>
            <w:t>(LISR)</w:t>
          </w:r>
          <w:r w:rsidR="00737704">
            <w:rPr>
              <w:rFonts w:ascii="Gill Sans MT" w:hAnsi="Gill Sans MT"/>
              <w:sz w:val="24"/>
              <w:szCs w:val="24"/>
            </w:rPr>
            <w:fldChar w:fldCharType="end"/>
          </w:r>
        </w:sdtContent>
      </w:sdt>
    </w:p>
    <w:p w:rsidR="008B3864" w:rsidRDefault="008B3864" w:rsidP="00FD6A01">
      <w:pPr>
        <w:spacing w:line="360" w:lineRule="auto"/>
        <w:rPr>
          <w:rFonts w:ascii="Gill Sans MT" w:hAnsi="Gill Sans MT"/>
          <w:sz w:val="24"/>
          <w:szCs w:val="24"/>
        </w:rPr>
      </w:pPr>
    </w:p>
    <w:p w:rsidR="00EB5E72" w:rsidRPr="00C047E2" w:rsidRDefault="00EB5E72" w:rsidP="00FD6A01">
      <w:pPr>
        <w:spacing w:line="360" w:lineRule="auto"/>
        <w:rPr>
          <w:rFonts w:ascii="Gill Sans MT" w:hAnsi="Gill Sans MT"/>
          <w:sz w:val="24"/>
          <w:szCs w:val="24"/>
        </w:rPr>
      </w:pPr>
      <w:r w:rsidRPr="00C047E2">
        <w:rPr>
          <w:rFonts w:ascii="Gill Sans MT" w:hAnsi="Gill Sans MT"/>
          <w:sz w:val="24"/>
          <w:szCs w:val="24"/>
        </w:rPr>
        <w:t xml:space="preserve">Que hayan sido efectivamente erogadas en el ejercicio de que se trate, se consideran efectivamente erogadas cuando el pago haya sido realizado en </w:t>
      </w:r>
    </w:p>
    <w:p w:rsidR="00C047E2" w:rsidRDefault="00EB5E72" w:rsidP="00FD6A01">
      <w:pPr>
        <w:spacing w:line="360" w:lineRule="auto"/>
        <w:rPr>
          <w:rFonts w:ascii="Gill Sans MT" w:hAnsi="Gill Sans MT"/>
          <w:sz w:val="24"/>
          <w:szCs w:val="24"/>
        </w:rPr>
      </w:pPr>
      <w:r w:rsidRPr="00C047E2">
        <w:rPr>
          <w:rFonts w:ascii="Gill Sans MT" w:hAnsi="Gill Sans MT"/>
          <w:sz w:val="24"/>
          <w:szCs w:val="24"/>
        </w:rPr>
        <w:t>efectivo</w:t>
      </w:r>
      <w:r w:rsidR="00C047E2">
        <w:rPr>
          <w:rFonts w:ascii="Gill Sans MT" w:hAnsi="Gill Sans MT"/>
          <w:sz w:val="24"/>
          <w:szCs w:val="24"/>
        </w:rPr>
        <w:t>,</w:t>
      </w:r>
      <w:r w:rsidRPr="00C047E2">
        <w:rPr>
          <w:rFonts w:ascii="Gill Sans MT" w:hAnsi="Gill Sans MT"/>
          <w:sz w:val="24"/>
          <w:szCs w:val="24"/>
        </w:rPr>
        <w:t xml:space="preserve"> mediante traspaso de cuentas en instituciones de crédito o casa de bolsa. De acuerdo con la fracción lll del artículo 3ro de las disposiciones transitorias del código fiscal de </w:t>
      </w:r>
      <w:r w:rsidRPr="00C047E2">
        <w:rPr>
          <w:rFonts w:ascii="Gill Sans MT" w:hAnsi="Gill Sans MT"/>
          <w:sz w:val="24"/>
          <w:szCs w:val="24"/>
        </w:rPr>
        <w:lastRenderedPageBreak/>
        <w:t>la federación para 2012</w:t>
      </w:r>
      <w:r w:rsidR="00C047E2" w:rsidRPr="00C047E2">
        <w:rPr>
          <w:rFonts w:ascii="Gill Sans MT" w:hAnsi="Gill Sans MT"/>
          <w:sz w:val="24"/>
          <w:szCs w:val="24"/>
        </w:rPr>
        <w:t>, en la referencia traspaso de cuantas en instituciones de crédito o casa de bolsa.</w:t>
      </w:r>
    </w:p>
    <w:p w:rsidR="00C047E2" w:rsidRDefault="00C047E2" w:rsidP="00FD6A01">
      <w:pPr>
        <w:spacing w:line="360" w:lineRule="auto"/>
        <w:rPr>
          <w:rFonts w:ascii="Gill Sans MT" w:hAnsi="Gill Sans MT"/>
          <w:sz w:val="24"/>
          <w:szCs w:val="24"/>
        </w:rPr>
      </w:pPr>
      <w:r>
        <w:rPr>
          <w:rFonts w:ascii="Gill Sans MT" w:hAnsi="Gill Sans MT"/>
          <w:sz w:val="24"/>
          <w:szCs w:val="24"/>
        </w:rPr>
        <w:t xml:space="preserve">En servicios, en otros </w:t>
      </w:r>
      <w:r w:rsidR="000D6C18">
        <w:rPr>
          <w:rFonts w:ascii="Gill Sans MT" w:hAnsi="Gill Sans MT"/>
          <w:sz w:val="24"/>
          <w:szCs w:val="24"/>
        </w:rPr>
        <w:t>bienes que</w:t>
      </w:r>
      <w:r>
        <w:rPr>
          <w:rFonts w:ascii="Gill Sans MT" w:hAnsi="Gill Sans MT"/>
          <w:sz w:val="24"/>
          <w:szCs w:val="24"/>
        </w:rPr>
        <w:t xml:space="preserve"> no sean títulos de </w:t>
      </w:r>
      <w:r w:rsidR="000D6C18">
        <w:rPr>
          <w:rFonts w:ascii="Gill Sans MT" w:hAnsi="Gill Sans MT"/>
          <w:sz w:val="24"/>
          <w:szCs w:val="24"/>
        </w:rPr>
        <w:t>crédito. Tratándose de pagos con cheque, se considera que han sido efectivamente erogados en la fecha en el que el citado cheque haya sido cobrado o cuando los contribuyentes transmitan los cheques a un tercero, excepto cuando dicha transmisión sea en procuración.</w:t>
      </w:r>
    </w:p>
    <w:p w:rsidR="008B3864" w:rsidRDefault="008B3864" w:rsidP="00FD6A01">
      <w:pPr>
        <w:spacing w:line="360" w:lineRule="auto"/>
        <w:rPr>
          <w:rFonts w:ascii="Gill Sans MT" w:hAnsi="Gill Sans MT"/>
          <w:sz w:val="24"/>
          <w:szCs w:val="24"/>
        </w:rPr>
      </w:pPr>
      <w:r>
        <w:rPr>
          <w:rFonts w:ascii="Gill Sans MT" w:hAnsi="Gill Sans MT"/>
          <w:sz w:val="24"/>
          <w:szCs w:val="24"/>
        </w:rPr>
        <w:t>Que sean estrictamente indispensables para los ingresos por lo que se está obligado al pago de IRS.</w:t>
      </w:r>
    </w:p>
    <w:p w:rsidR="008B3864" w:rsidRDefault="008B3864" w:rsidP="00FD6A01">
      <w:pPr>
        <w:spacing w:line="360" w:lineRule="auto"/>
        <w:rPr>
          <w:rFonts w:ascii="Gill Sans MT" w:hAnsi="Gill Sans MT"/>
          <w:sz w:val="24"/>
          <w:szCs w:val="24"/>
        </w:rPr>
      </w:pPr>
      <w:r>
        <w:rPr>
          <w:rFonts w:ascii="Gill Sans MT" w:hAnsi="Gill Sans MT"/>
          <w:sz w:val="24"/>
          <w:szCs w:val="24"/>
        </w:rPr>
        <w:t xml:space="preserve">Que se resten una sola vez aun cuando estén relacionados con la </w:t>
      </w:r>
      <w:r w:rsidR="00493E16">
        <w:rPr>
          <w:rFonts w:ascii="Gill Sans MT" w:hAnsi="Gill Sans MT"/>
          <w:sz w:val="24"/>
          <w:szCs w:val="24"/>
        </w:rPr>
        <w:t>obtención</w:t>
      </w:r>
      <w:r>
        <w:rPr>
          <w:rFonts w:ascii="Gill Sans MT" w:hAnsi="Gill Sans MT"/>
          <w:sz w:val="24"/>
          <w:szCs w:val="24"/>
        </w:rPr>
        <w:t xml:space="preserve"> de diversos ingresos.</w:t>
      </w:r>
    </w:p>
    <w:p w:rsidR="008B3864" w:rsidRDefault="008B3864" w:rsidP="00FD6A01">
      <w:pPr>
        <w:spacing w:line="360" w:lineRule="auto"/>
        <w:rPr>
          <w:rFonts w:ascii="Gill Sans MT" w:hAnsi="Gill Sans MT"/>
          <w:sz w:val="24"/>
          <w:szCs w:val="24"/>
        </w:rPr>
      </w:pPr>
      <w:r>
        <w:rPr>
          <w:rFonts w:ascii="Gill Sans MT" w:hAnsi="Gill Sans MT"/>
          <w:sz w:val="24"/>
          <w:szCs w:val="24"/>
        </w:rPr>
        <w:t>Que los pagos</w:t>
      </w:r>
      <w:r w:rsidR="00493E16">
        <w:rPr>
          <w:rFonts w:ascii="Gill Sans MT" w:hAnsi="Gill Sans MT"/>
          <w:sz w:val="24"/>
          <w:szCs w:val="24"/>
        </w:rPr>
        <w:t xml:space="preserve"> de pri</w:t>
      </w:r>
      <w:r>
        <w:rPr>
          <w:rFonts w:ascii="Gill Sans MT" w:hAnsi="Gill Sans MT"/>
          <w:sz w:val="24"/>
          <w:szCs w:val="24"/>
        </w:rPr>
        <w:t xml:space="preserve">mas de seguro o fianzas se hagan conforme a las leyes de la materia y correspondan a conceptos que la LISR señala como deducibles o que en otras leyes se </w:t>
      </w:r>
      <w:r w:rsidR="00493E16">
        <w:rPr>
          <w:rFonts w:ascii="Gill Sans MT" w:hAnsi="Gill Sans MT"/>
          <w:sz w:val="24"/>
          <w:szCs w:val="24"/>
        </w:rPr>
        <w:t>establezca</w:t>
      </w:r>
      <w:r>
        <w:rPr>
          <w:rFonts w:ascii="Gill Sans MT" w:hAnsi="Gill Sans MT"/>
          <w:sz w:val="24"/>
          <w:szCs w:val="24"/>
        </w:rPr>
        <w:t xml:space="preserve"> la obligación de contratarlos.</w:t>
      </w:r>
    </w:p>
    <w:p w:rsidR="00493E16" w:rsidRDefault="00493E16" w:rsidP="00FD6A01">
      <w:pPr>
        <w:spacing w:line="360" w:lineRule="auto"/>
        <w:rPr>
          <w:rFonts w:ascii="Gill Sans MT" w:hAnsi="Gill Sans MT"/>
          <w:sz w:val="24"/>
          <w:szCs w:val="24"/>
        </w:rPr>
      </w:pPr>
      <w:r>
        <w:rPr>
          <w:rFonts w:ascii="Gill Sans MT" w:hAnsi="Gill Sans MT"/>
          <w:sz w:val="24"/>
          <w:szCs w:val="24"/>
        </w:rPr>
        <w:t>Cuando el pago de las erogaciones se realice a plazos, que tratándose de las inversiones no se le dé efectos fiscales a su revaluación.</w:t>
      </w:r>
    </w:p>
    <w:p w:rsidR="00493E16" w:rsidRDefault="00493E16" w:rsidP="00FD6A01">
      <w:pPr>
        <w:spacing w:line="360" w:lineRule="auto"/>
        <w:rPr>
          <w:rFonts w:ascii="Gill Sans MT" w:hAnsi="Gill Sans MT"/>
          <w:sz w:val="24"/>
          <w:szCs w:val="24"/>
        </w:rPr>
      </w:pPr>
      <w:r>
        <w:rPr>
          <w:rFonts w:ascii="Gill Sans MT" w:hAnsi="Gill Sans MT"/>
          <w:sz w:val="24"/>
          <w:szCs w:val="24"/>
        </w:rPr>
        <w:t>Que l realizar las operaciones correspondientes a más tardar el ultimo día del ejercicio se reúnan los requisitos que para cada deducción en particular establece la LISR.</w:t>
      </w:r>
    </w:p>
    <w:p w:rsidR="00493E16" w:rsidRDefault="00493E16" w:rsidP="00FD6A01">
      <w:pPr>
        <w:spacing w:line="360" w:lineRule="auto"/>
        <w:rPr>
          <w:rFonts w:ascii="Gill Sans MT" w:hAnsi="Gill Sans MT"/>
          <w:sz w:val="24"/>
          <w:szCs w:val="24"/>
        </w:rPr>
      </w:pPr>
      <w:r>
        <w:rPr>
          <w:rFonts w:ascii="Gill Sans MT" w:hAnsi="Gill Sans MT"/>
          <w:sz w:val="24"/>
          <w:szCs w:val="24"/>
        </w:rPr>
        <w:t>Que estén amparadas con comprobantes fiscales, los contribuyentes podrán comprobar la autenticidad de los CFDI.</w:t>
      </w:r>
    </w:p>
    <w:p w:rsidR="00493E16" w:rsidRDefault="00493E16" w:rsidP="00FD6A01">
      <w:pPr>
        <w:spacing w:line="360" w:lineRule="auto"/>
        <w:rPr>
          <w:rFonts w:ascii="Gill Sans MT" w:hAnsi="Gill Sans MT"/>
          <w:sz w:val="24"/>
          <w:szCs w:val="24"/>
        </w:rPr>
      </w:pPr>
      <w:r>
        <w:rPr>
          <w:rFonts w:ascii="Gill Sans MT" w:hAnsi="Gill Sans MT"/>
          <w:sz w:val="24"/>
          <w:szCs w:val="24"/>
        </w:rPr>
        <w:t>Que los pagos cuyo monto exceda de $ 2,000.00, se efectúen mediante transferencia electrónica de fondos desde cuentas abiertas a nombre del contribuyente.</w:t>
      </w:r>
    </w:p>
    <w:p w:rsidR="005D2852" w:rsidRDefault="005D2852" w:rsidP="00FD6A01">
      <w:pPr>
        <w:spacing w:line="360" w:lineRule="auto"/>
        <w:rPr>
          <w:rFonts w:ascii="Gill Sans MT" w:hAnsi="Gill Sans MT"/>
          <w:sz w:val="24"/>
          <w:szCs w:val="24"/>
        </w:rPr>
      </w:pPr>
    </w:p>
    <w:p w:rsidR="003A2AFF" w:rsidRDefault="003A2AFF" w:rsidP="00FD6A01">
      <w:pPr>
        <w:spacing w:line="360" w:lineRule="auto"/>
        <w:rPr>
          <w:rFonts w:ascii="Gill Sans MT" w:hAnsi="Gill Sans MT"/>
          <w:sz w:val="24"/>
          <w:szCs w:val="24"/>
        </w:rPr>
      </w:pPr>
    </w:p>
    <w:p w:rsidR="003A2AFF" w:rsidRDefault="003A2AFF" w:rsidP="00FD6A01">
      <w:pPr>
        <w:spacing w:line="360" w:lineRule="auto"/>
        <w:rPr>
          <w:rFonts w:ascii="Gill Sans MT" w:hAnsi="Gill Sans MT"/>
          <w:sz w:val="24"/>
          <w:szCs w:val="24"/>
        </w:rPr>
      </w:pPr>
    </w:p>
    <w:p w:rsidR="005D2852" w:rsidRDefault="005D2852" w:rsidP="00FD6A01">
      <w:pPr>
        <w:spacing w:line="360" w:lineRule="auto"/>
        <w:rPr>
          <w:rFonts w:ascii="Gill Sans MT" w:hAnsi="Gill Sans MT"/>
          <w:sz w:val="24"/>
          <w:szCs w:val="24"/>
        </w:rPr>
      </w:pPr>
      <w:r>
        <w:rPr>
          <w:rFonts w:ascii="Gill Sans MT" w:hAnsi="Gill Sans MT"/>
          <w:sz w:val="24"/>
          <w:szCs w:val="24"/>
        </w:rPr>
        <w:t xml:space="preserve">Como se ha mencionado a través del tiempo la contabilidad ha avanzado por la misma necesidad de la ciudadanía. Para poder analizar y entender lo que se indica es, saber que </w:t>
      </w:r>
      <w:r>
        <w:rPr>
          <w:rFonts w:ascii="Gill Sans MT" w:hAnsi="Gill Sans MT"/>
          <w:sz w:val="24"/>
          <w:szCs w:val="24"/>
        </w:rPr>
        <w:lastRenderedPageBreak/>
        <w:t>primeramente nace la contabilidad gracias a ciertos precursores que le dieron la más interesante opinión acerca del ingreso obtenido ya sea por persona moral o física o simplemente por tener el derecho de contar con un negocio o prestar servicios profesionales</w:t>
      </w:r>
      <w:r w:rsidR="009A03BF">
        <w:rPr>
          <w:rFonts w:ascii="Gill Sans MT" w:hAnsi="Gill Sans MT"/>
          <w:sz w:val="24"/>
          <w:szCs w:val="24"/>
        </w:rPr>
        <w:t>,</w:t>
      </w:r>
      <w:r w:rsidR="007005D7">
        <w:rPr>
          <w:rFonts w:ascii="Gill Sans MT" w:hAnsi="Gill Sans MT"/>
          <w:sz w:val="24"/>
          <w:szCs w:val="24"/>
        </w:rPr>
        <w:t xml:space="preserve"> también</w:t>
      </w:r>
      <w:r>
        <w:rPr>
          <w:rFonts w:ascii="Gill Sans MT" w:hAnsi="Gill Sans MT"/>
          <w:sz w:val="24"/>
          <w:szCs w:val="24"/>
        </w:rPr>
        <w:t xml:space="preserve"> para saber cuáles son las leyes a las que se tiene que acatar o tener una contabilidad establecida con carácter y principios</w:t>
      </w:r>
      <w:r w:rsidR="007005D7">
        <w:rPr>
          <w:rFonts w:ascii="Gill Sans MT" w:hAnsi="Gill Sans MT"/>
          <w:sz w:val="24"/>
          <w:szCs w:val="24"/>
        </w:rPr>
        <w:t>,</w:t>
      </w:r>
      <w:r>
        <w:rPr>
          <w:rFonts w:ascii="Gill Sans MT" w:hAnsi="Gill Sans MT"/>
          <w:sz w:val="24"/>
          <w:szCs w:val="24"/>
        </w:rPr>
        <w:t xml:space="preserve"> para no meterse en problemas con las autoridades fiscales que en este caso sería el Sistema de Administración</w:t>
      </w:r>
      <w:r w:rsidR="009A03BF">
        <w:rPr>
          <w:rFonts w:ascii="Gill Sans MT" w:hAnsi="Gill Sans MT"/>
          <w:sz w:val="24"/>
          <w:szCs w:val="24"/>
        </w:rPr>
        <w:t xml:space="preserve"> Tributaria</w:t>
      </w:r>
      <w:r>
        <w:rPr>
          <w:rFonts w:ascii="Gill Sans MT" w:hAnsi="Gill Sans MT"/>
          <w:sz w:val="24"/>
          <w:szCs w:val="24"/>
        </w:rPr>
        <w:t xml:space="preserve"> (SAT). </w:t>
      </w:r>
    </w:p>
    <w:p w:rsidR="009A03BF" w:rsidRDefault="009A03BF" w:rsidP="00FD6A01">
      <w:pPr>
        <w:spacing w:line="360" w:lineRule="auto"/>
        <w:rPr>
          <w:rFonts w:ascii="Gill Sans MT" w:hAnsi="Gill Sans MT"/>
          <w:sz w:val="24"/>
          <w:szCs w:val="24"/>
        </w:rPr>
      </w:pPr>
      <w:r>
        <w:rPr>
          <w:rFonts w:ascii="Gill Sans MT" w:hAnsi="Gill Sans MT"/>
          <w:sz w:val="24"/>
          <w:szCs w:val="24"/>
        </w:rPr>
        <w:t xml:space="preserve">El diario oficial de la federación (DOF) publica los artículos establecidos para el pago de impuesto y las deducciones fiscales autorizadas que se pueden hacer según el régimen en el que tributan. Así como también las encontramos en la Ley de Impuesto sobre la Renta(LISR)  </w:t>
      </w:r>
    </w:p>
    <w:p w:rsidR="009A03BF" w:rsidRDefault="009A03BF" w:rsidP="00FD6A01">
      <w:pPr>
        <w:spacing w:line="360" w:lineRule="auto"/>
        <w:rPr>
          <w:rFonts w:ascii="Gill Sans MT" w:hAnsi="Gill Sans MT"/>
          <w:sz w:val="24"/>
          <w:szCs w:val="24"/>
        </w:rPr>
      </w:pPr>
      <w:r>
        <w:rPr>
          <w:rFonts w:ascii="Gill Sans MT" w:hAnsi="Gill Sans MT"/>
          <w:sz w:val="24"/>
          <w:szCs w:val="24"/>
        </w:rPr>
        <w:t xml:space="preserve">Como bien hemos explicado a través del tiempo </w:t>
      </w:r>
      <w:r w:rsidR="007005D7">
        <w:rPr>
          <w:rFonts w:ascii="Gill Sans MT" w:hAnsi="Gill Sans MT"/>
          <w:sz w:val="24"/>
          <w:szCs w:val="24"/>
        </w:rPr>
        <w:t xml:space="preserve">han surgido cambios tanto en </w:t>
      </w:r>
      <w:r>
        <w:rPr>
          <w:rFonts w:ascii="Gill Sans MT" w:hAnsi="Gill Sans MT"/>
          <w:sz w:val="24"/>
          <w:szCs w:val="24"/>
        </w:rPr>
        <w:t>leyes como en la autoridad fiscal.</w:t>
      </w:r>
    </w:p>
    <w:p w:rsidR="009A03BF" w:rsidRDefault="009A03BF" w:rsidP="00FD6A01">
      <w:pPr>
        <w:spacing w:line="360" w:lineRule="auto"/>
        <w:rPr>
          <w:rFonts w:ascii="Gill Sans MT" w:hAnsi="Gill Sans MT"/>
          <w:sz w:val="24"/>
          <w:szCs w:val="24"/>
        </w:rPr>
      </w:pPr>
      <w:r>
        <w:rPr>
          <w:rFonts w:ascii="Gill Sans MT" w:hAnsi="Gill Sans MT"/>
          <w:sz w:val="24"/>
          <w:szCs w:val="24"/>
        </w:rPr>
        <w:t xml:space="preserve">Gracias a esos cambios las personas que tributan han logrado obtener un reembolso de todos los pagos de impuesto que tienen la obligación </w:t>
      </w:r>
      <w:r w:rsidR="007005D7">
        <w:rPr>
          <w:rFonts w:ascii="Gill Sans MT" w:hAnsi="Gill Sans MT"/>
          <w:sz w:val="24"/>
          <w:szCs w:val="24"/>
        </w:rPr>
        <w:t>de hacer</w:t>
      </w:r>
      <w:r>
        <w:rPr>
          <w:rFonts w:ascii="Gill Sans MT" w:hAnsi="Gill Sans MT"/>
          <w:sz w:val="24"/>
          <w:szCs w:val="24"/>
        </w:rPr>
        <w:t xml:space="preserve">, así como también logran conocer un poco más de los derechos que tienen por ser persona empresarial o prestar servicios profesionales. </w:t>
      </w:r>
    </w:p>
    <w:p w:rsidR="005D2852" w:rsidRDefault="005D2852" w:rsidP="00FD6A01">
      <w:pPr>
        <w:spacing w:line="360" w:lineRule="auto"/>
        <w:rPr>
          <w:rFonts w:ascii="Gill Sans MT" w:hAnsi="Gill Sans MT"/>
          <w:sz w:val="24"/>
          <w:szCs w:val="24"/>
        </w:rPr>
      </w:pPr>
      <w:r>
        <w:rPr>
          <w:rFonts w:ascii="Gill Sans MT" w:hAnsi="Gill Sans MT"/>
          <w:sz w:val="24"/>
          <w:szCs w:val="24"/>
        </w:rPr>
        <w:t xml:space="preserve">las personas físicas que tributan con el régimen de honorarios han sido los más afectados ya que hasta el </w:t>
      </w:r>
      <w:r w:rsidR="007005D7">
        <w:rPr>
          <w:rFonts w:ascii="Gill Sans MT" w:hAnsi="Gill Sans MT"/>
          <w:sz w:val="24"/>
          <w:szCs w:val="24"/>
        </w:rPr>
        <w:t>día</w:t>
      </w:r>
      <w:r>
        <w:rPr>
          <w:rFonts w:ascii="Gill Sans MT" w:hAnsi="Gill Sans MT"/>
          <w:sz w:val="24"/>
          <w:szCs w:val="24"/>
        </w:rPr>
        <w:t xml:space="preserve"> de hoy no cuentan con una claridad suficiente con base a lo que deben o pueden deducir. </w:t>
      </w:r>
    </w:p>
    <w:p w:rsidR="00455077" w:rsidRPr="00455077" w:rsidRDefault="007005D7" w:rsidP="00FD6A01">
      <w:pPr>
        <w:spacing w:line="360" w:lineRule="auto"/>
        <w:rPr>
          <w:rFonts w:ascii="Gill Sans MT" w:hAnsi="Gill Sans MT"/>
          <w:sz w:val="24"/>
          <w:szCs w:val="24"/>
        </w:rPr>
      </w:pPr>
      <w:r>
        <w:rPr>
          <w:rFonts w:ascii="Gill Sans MT" w:hAnsi="Gill Sans MT"/>
          <w:sz w:val="24"/>
          <w:szCs w:val="24"/>
        </w:rPr>
        <w:t xml:space="preserve">Con esta investigación se pueden esclarecer más las dudas acerca de las deducciones autorizadas como persona física bajo el régimen de honorarios, que tienen derecho </w:t>
      </w:r>
      <w:r w:rsidR="00455077">
        <w:rPr>
          <w:rFonts w:ascii="Gill Sans MT" w:hAnsi="Gill Sans MT"/>
          <w:sz w:val="24"/>
          <w:szCs w:val="24"/>
        </w:rPr>
        <w:t>a las deducciones autorizadas.</w:t>
      </w:r>
    </w:p>
    <w:sectPr w:rsidR="00455077" w:rsidRPr="00455077" w:rsidSect="007005D7">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500"/>
    <w:multiLevelType w:val="hybridMultilevel"/>
    <w:tmpl w:val="EA183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873D99"/>
    <w:multiLevelType w:val="hybridMultilevel"/>
    <w:tmpl w:val="159C8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8C4E1A"/>
    <w:multiLevelType w:val="hybridMultilevel"/>
    <w:tmpl w:val="1A14B454"/>
    <w:lvl w:ilvl="0" w:tplc="A0CAEE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1FB7800"/>
    <w:multiLevelType w:val="hybridMultilevel"/>
    <w:tmpl w:val="6D4695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230DDA"/>
    <w:multiLevelType w:val="hybridMultilevel"/>
    <w:tmpl w:val="800268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B9"/>
    <w:rsid w:val="00064C4B"/>
    <w:rsid w:val="00087F60"/>
    <w:rsid w:val="000C5B98"/>
    <w:rsid w:val="000D6C18"/>
    <w:rsid w:val="000E5BA1"/>
    <w:rsid w:val="000F63FD"/>
    <w:rsid w:val="001109C2"/>
    <w:rsid w:val="00140402"/>
    <w:rsid w:val="00182BF1"/>
    <w:rsid w:val="001C6075"/>
    <w:rsid w:val="001E6A84"/>
    <w:rsid w:val="001F3989"/>
    <w:rsid w:val="002132B0"/>
    <w:rsid w:val="0023077A"/>
    <w:rsid w:val="002474C9"/>
    <w:rsid w:val="002841B2"/>
    <w:rsid w:val="002D4FE7"/>
    <w:rsid w:val="00311E21"/>
    <w:rsid w:val="003A2AFF"/>
    <w:rsid w:val="00455077"/>
    <w:rsid w:val="00493E16"/>
    <w:rsid w:val="005D2852"/>
    <w:rsid w:val="005D60EF"/>
    <w:rsid w:val="006D39B2"/>
    <w:rsid w:val="006E77D5"/>
    <w:rsid w:val="007005D7"/>
    <w:rsid w:val="007219D8"/>
    <w:rsid w:val="00737704"/>
    <w:rsid w:val="007716B3"/>
    <w:rsid w:val="007F0847"/>
    <w:rsid w:val="00801E43"/>
    <w:rsid w:val="0087664F"/>
    <w:rsid w:val="00894F2D"/>
    <w:rsid w:val="00895E5E"/>
    <w:rsid w:val="008B3864"/>
    <w:rsid w:val="008C3FDF"/>
    <w:rsid w:val="0099436D"/>
    <w:rsid w:val="009A03BF"/>
    <w:rsid w:val="00A472DF"/>
    <w:rsid w:val="00A973BA"/>
    <w:rsid w:val="00B246D1"/>
    <w:rsid w:val="00B275B9"/>
    <w:rsid w:val="00B27BE8"/>
    <w:rsid w:val="00BA09B6"/>
    <w:rsid w:val="00BB1F43"/>
    <w:rsid w:val="00BB4B8D"/>
    <w:rsid w:val="00C047E2"/>
    <w:rsid w:val="00C20799"/>
    <w:rsid w:val="00C26EFA"/>
    <w:rsid w:val="00C90DAF"/>
    <w:rsid w:val="00D06F22"/>
    <w:rsid w:val="00D07F84"/>
    <w:rsid w:val="00D269C7"/>
    <w:rsid w:val="00D5459D"/>
    <w:rsid w:val="00D84780"/>
    <w:rsid w:val="00DB1997"/>
    <w:rsid w:val="00DD1D16"/>
    <w:rsid w:val="00DD47ED"/>
    <w:rsid w:val="00DF0C2B"/>
    <w:rsid w:val="00E1587B"/>
    <w:rsid w:val="00E470E6"/>
    <w:rsid w:val="00E80F49"/>
    <w:rsid w:val="00EA784A"/>
    <w:rsid w:val="00EB5E72"/>
    <w:rsid w:val="00EC4905"/>
    <w:rsid w:val="00F538E2"/>
    <w:rsid w:val="00FD6A01"/>
    <w:rsid w:val="00FE32CB"/>
    <w:rsid w:val="00FE5C96"/>
    <w:rsid w:val="00FF1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63E0B-9ED0-4B11-8E99-F89DCFDA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5068">
      <w:bodyDiv w:val="1"/>
      <w:marLeft w:val="0"/>
      <w:marRight w:val="0"/>
      <w:marTop w:val="0"/>
      <w:marBottom w:val="0"/>
      <w:divBdr>
        <w:top w:val="none" w:sz="0" w:space="0" w:color="auto"/>
        <w:left w:val="none" w:sz="0" w:space="0" w:color="auto"/>
        <w:bottom w:val="none" w:sz="0" w:space="0" w:color="auto"/>
        <w:right w:val="none" w:sz="0" w:space="0" w:color="auto"/>
      </w:divBdr>
    </w:div>
    <w:div w:id="599992021">
      <w:bodyDiv w:val="1"/>
      <w:marLeft w:val="0"/>
      <w:marRight w:val="0"/>
      <w:marTop w:val="0"/>
      <w:marBottom w:val="0"/>
      <w:divBdr>
        <w:top w:val="none" w:sz="0" w:space="0" w:color="auto"/>
        <w:left w:val="none" w:sz="0" w:space="0" w:color="auto"/>
        <w:bottom w:val="none" w:sz="0" w:space="0" w:color="auto"/>
        <w:right w:val="none" w:sz="0" w:space="0" w:color="auto"/>
      </w:divBdr>
    </w:div>
    <w:div w:id="804856793">
      <w:bodyDiv w:val="1"/>
      <w:marLeft w:val="0"/>
      <w:marRight w:val="0"/>
      <w:marTop w:val="0"/>
      <w:marBottom w:val="0"/>
      <w:divBdr>
        <w:top w:val="none" w:sz="0" w:space="0" w:color="auto"/>
        <w:left w:val="none" w:sz="0" w:space="0" w:color="auto"/>
        <w:bottom w:val="none" w:sz="0" w:space="0" w:color="auto"/>
        <w:right w:val="none" w:sz="0" w:space="0" w:color="auto"/>
      </w:divBdr>
    </w:div>
    <w:div w:id="954754239">
      <w:bodyDiv w:val="1"/>
      <w:marLeft w:val="0"/>
      <w:marRight w:val="0"/>
      <w:marTop w:val="0"/>
      <w:marBottom w:val="0"/>
      <w:divBdr>
        <w:top w:val="none" w:sz="0" w:space="0" w:color="auto"/>
        <w:left w:val="none" w:sz="0" w:space="0" w:color="auto"/>
        <w:bottom w:val="none" w:sz="0" w:space="0" w:color="auto"/>
        <w:right w:val="none" w:sz="0" w:space="0" w:color="auto"/>
      </w:divBdr>
    </w:div>
    <w:div w:id="1468428283">
      <w:bodyDiv w:val="1"/>
      <w:marLeft w:val="0"/>
      <w:marRight w:val="0"/>
      <w:marTop w:val="0"/>
      <w:marBottom w:val="0"/>
      <w:divBdr>
        <w:top w:val="none" w:sz="0" w:space="0" w:color="auto"/>
        <w:left w:val="none" w:sz="0" w:space="0" w:color="auto"/>
        <w:bottom w:val="none" w:sz="0" w:space="0" w:color="auto"/>
        <w:right w:val="none" w:sz="0" w:space="0" w:color="auto"/>
      </w:divBdr>
    </w:div>
    <w:div w:id="1512377040">
      <w:bodyDiv w:val="1"/>
      <w:marLeft w:val="0"/>
      <w:marRight w:val="0"/>
      <w:marTop w:val="0"/>
      <w:marBottom w:val="0"/>
      <w:divBdr>
        <w:top w:val="none" w:sz="0" w:space="0" w:color="auto"/>
        <w:left w:val="none" w:sz="0" w:space="0" w:color="auto"/>
        <w:bottom w:val="none" w:sz="0" w:space="0" w:color="auto"/>
        <w:right w:val="none" w:sz="0" w:space="0" w:color="auto"/>
      </w:divBdr>
    </w:div>
    <w:div w:id="1565482691">
      <w:bodyDiv w:val="1"/>
      <w:marLeft w:val="0"/>
      <w:marRight w:val="0"/>
      <w:marTop w:val="0"/>
      <w:marBottom w:val="0"/>
      <w:divBdr>
        <w:top w:val="none" w:sz="0" w:space="0" w:color="auto"/>
        <w:left w:val="none" w:sz="0" w:space="0" w:color="auto"/>
        <w:bottom w:val="none" w:sz="0" w:space="0" w:color="auto"/>
        <w:right w:val="none" w:sz="0" w:space="0" w:color="auto"/>
      </w:divBdr>
    </w:div>
    <w:div w:id="20541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Ger</b:Tag>
    <b:SourceType>DocumentFromInternetSite</b:SourceType>
    <b:Guid>{2FEF8AA6-D4F1-417D-A6A6-A1C73C2F3259}</b:Guid>
    <b:Author>
      <b:Author>
        <b:NameList>
          <b:Person>
            <b:Last>Manero</b:Last>
            <b:First>Gertz</b:First>
          </b:Person>
        </b:NameList>
      </b:Author>
    </b:Author>
    <b:RefOrder>6</b:RefOrder>
  </b:Source>
  <b:Source>
    <b:Tag>FRA</b:Tag>
    <b:SourceType>DocumentFromInternetSite</b:SourceType>
    <b:Guid>{D95760A8-D21B-4359-9D29-37A3CAA67A53}</b:Guid>
    <b:Author>
      <b:Author>
        <b:NameList>
          <b:Person>
            <b:Last>Pecioli</b:Last>
            <b:First>Fray</b:First>
            <b:Middle>Lucas Bartolome de pecioli</b:Middle>
          </b:Person>
        </b:NameList>
      </b:Author>
    </b:Author>
    <b:RefOrder>1</b:RefOrder>
  </b:Source>
  <b:Source>
    <b:Tag>Ger1</b:Tag>
    <b:SourceType>DocumentFromInternetSite</b:SourceType>
    <b:Guid>{9CF71B57-98FA-484D-B2E0-D5C1B47F0044}</b:Guid>
    <b:Author>
      <b:Author>
        <b:NameList>
          <b:Person>
            <b:Last>Manero</b:Last>
            <b:First>Gertz</b:First>
          </b:Person>
        </b:NameList>
      </b:Author>
    </b:Author>
    <b:RefOrder>2</b:RefOrder>
  </b:Source>
  <b:Source>
    <b:Tag>Men</b:Tag>
    <b:SourceType>DocumentFromInternetSite</b:SourceType>
    <b:Guid>{51471D7A-84D5-41D9-9136-A4AC72E247B9}</b:Guid>
    <b:Author>
      <b:Author>
        <b:NameList>
          <b:Person>
            <b:Last>Oscar</b:Last>
            <b:First>Mendez</b:First>
            <b:Middle>Alvarez Donato</b:Middle>
          </b:Person>
        </b:NameList>
      </b:Author>
    </b:Author>
    <b:RefOrder>3</b:RefOrder>
  </b:Source>
  <b:Source>
    <b:Tag>Enr</b:Tag>
    <b:SourceType>DocumentFromInternetSite</b:SourceType>
    <b:Guid>{EB34B80A-5F43-44E8-B85A-B8532B1828A6}</b:Guid>
    <b:Author>
      <b:Author>
        <b:NameList>
          <b:Person>
            <b:Last>Calvo</b:Last>
            <b:First>Enrique</b:First>
          </b:Person>
        </b:NameList>
      </b:Author>
    </b:Author>
    <b:RefOrder>4</b:RefOrder>
  </b:Source>
  <b:Source>
    <b:Tag>LIS3</b:Tag>
    <b:SourceType>DocumentFromInternetSite</b:SourceType>
    <b:Guid>{DC1B882E-83EE-4C05-8BA7-D86F1E8C71CD}</b:Guid>
    <b:Author>
      <b:Author>
        <b:NameList>
          <b:Person>
            <b:Last>LISR</b:Last>
          </b:Person>
        </b:NameList>
      </b:Author>
    </b:Author>
    <b:RefOrder>5</b:RefOrder>
  </b:Source>
</b:Sources>
</file>

<file path=customXml/itemProps1.xml><?xml version="1.0" encoding="utf-8"?>
<ds:datastoreItem xmlns:ds="http://schemas.openxmlformats.org/officeDocument/2006/customXml" ds:itemID="{C35F8292-4D07-48B5-B2EF-5A62FC47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2707</Words>
  <Characters>14893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38</cp:revision>
  <dcterms:created xsi:type="dcterms:W3CDTF">2020-05-29T15:28:00Z</dcterms:created>
  <dcterms:modified xsi:type="dcterms:W3CDTF">2020-05-30T02:20:00Z</dcterms:modified>
</cp:coreProperties>
</file>