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A0" w:rsidRDefault="006459A0" w:rsidP="006459A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es-MX"/>
        </w:rPr>
      </w:pPr>
    </w:p>
    <w:p w:rsidR="006459A0" w:rsidRDefault="006459A0" w:rsidP="006459A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es-MX"/>
        </w:rPr>
      </w:pP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La </w:t>
      </w:r>
      <w:hyperlink r:id="rId6" w:tgtFrame="_self" w:history="1">
        <w:r w:rsidRPr="006459A0">
          <w:rPr>
            <w:rFonts w:ascii="Arial" w:eastAsia="Times New Roman" w:hAnsi="Arial" w:cs="Arial"/>
            <w:bCs/>
            <w:spacing w:val="-6"/>
            <w:sz w:val="24"/>
            <w:szCs w:val="24"/>
            <w:lang w:eastAsia="es-MX"/>
          </w:rPr>
          <w:t>anorexia</w:t>
        </w:r>
      </w:hyperlink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, la </w:t>
      </w:r>
      <w:hyperlink r:id="rId7" w:tgtFrame="_self" w:history="1">
        <w:r w:rsidRPr="006459A0">
          <w:rPr>
            <w:rFonts w:ascii="Arial" w:eastAsia="Times New Roman" w:hAnsi="Arial" w:cs="Arial"/>
            <w:bCs/>
            <w:spacing w:val="-6"/>
            <w:sz w:val="24"/>
            <w:szCs w:val="24"/>
            <w:lang w:eastAsia="es-MX"/>
          </w:rPr>
          <w:t>bulimia</w:t>
        </w:r>
      </w:hyperlink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 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y la </w:t>
      </w:r>
      <w:proofErr w:type="spellStart"/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fldChar w:fldCharType="begin"/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instrText xml:space="preserve"> HYPERLINK "https://cuidateplus.marca.com/enfermedades/psiquiatricas/vigorexia.html" \t "_self" </w:instrTex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fldChar w:fldCharType="separate"/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vigorexia</w:t>
      </w:r>
      <w:proofErr w:type="spellEnd"/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fldChar w:fldCharType="end"/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 son </w:t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trastornos de la conducta</w:t>
      </w:r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, 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alimentaria en el caso de la anorexia y la bulimia y de hábitos relacionados con el ejercicio físico en el caso de l</w:t>
      </w:r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a </w:t>
      </w:r>
      <w:proofErr w:type="spellStart"/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>vigorexia</w:t>
      </w:r>
      <w:proofErr w:type="spellEnd"/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, 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 producidos por diversos factores que tienen que ver con una percepción distorsionada del propio cuerpo o con atracones nerviosos de comida debido a la </w:t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ansiedad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. Las tres enfermedades </w:t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comparten ciertos factores pero son diferentes</w:t>
      </w:r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, 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sin embargo todas representan un </w:t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grave riesgo para la salud física y mental</w:t>
      </w:r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 de las personas. </w:t>
      </w:r>
    </w:p>
    <w:p w:rsidR="006459A0" w:rsidRPr="006459A0" w:rsidRDefault="006459A0" w:rsidP="006459A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es-MX"/>
        </w:rPr>
      </w:pPr>
    </w:p>
    <w:p w:rsidR="006459A0" w:rsidRDefault="006459A0" w:rsidP="006459A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es-MX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 </w:t>
      </w:r>
      <w:proofErr w:type="gramStart"/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>la</w:t>
      </w:r>
      <w:proofErr w:type="gramEnd"/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 anorexia y la bulimia son 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trastornos de conducta alimentaria caracterizados por la</w:t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 preocupación exagerada de los pacientes por su cuerpo y un miedo excesivo a ser </w:t>
      </w:r>
      <w:hyperlink r:id="rId8" w:tgtFrame="_self" w:history="1">
        <w:r w:rsidRPr="006459A0">
          <w:rPr>
            <w:rFonts w:ascii="Arial" w:eastAsia="Times New Roman" w:hAnsi="Arial" w:cs="Arial"/>
            <w:bCs/>
            <w:spacing w:val="-6"/>
            <w:sz w:val="24"/>
            <w:szCs w:val="24"/>
            <w:lang w:eastAsia="es-MX"/>
          </w:rPr>
          <w:t>obesos</w:t>
        </w:r>
      </w:hyperlink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, razón por la que tiene</w:t>
      </w:r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>n un control exagerado del peso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> </w:t>
      </w:r>
      <w:proofErr w:type="gramStart"/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la</w:t>
      </w:r>
      <w:proofErr w:type="gramEnd"/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 anorexia 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es una pa</w:t>
      </w:r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tología que se caracteriza por  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una</w:t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 restricción abusiva de la ingesta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, lo que da lugar a un</w:t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 índice de masa corporal bajo</w:t>
      </w:r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, 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 mientras que la </w:t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bulimia </w:t>
      </w:r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es 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la aparición de </w:t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episodios de atracones de comida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, en general con un alto contenido calórico, seguido de un </w:t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sentimiento de culpabilidad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, lo que lleva a las purgas, como la </w:t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inducción del vómito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. En</w:t>
      </w:r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 el caso de la bulimia, </w:t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el índice de masa corporal suele ser normal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.</w:t>
      </w:r>
    </w:p>
    <w:p w:rsidR="006459A0" w:rsidRPr="006459A0" w:rsidRDefault="006459A0" w:rsidP="006459A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es-MX"/>
        </w:rPr>
      </w:pPr>
    </w:p>
    <w:p w:rsidR="006459A0" w:rsidRPr="006459A0" w:rsidRDefault="006459A0" w:rsidP="006459A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es-MX"/>
        </w:rPr>
      </w:pP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La </w:t>
      </w:r>
      <w:proofErr w:type="spellStart"/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vigorexia</w:t>
      </w:r>
      <w:proofErr w:type="spellEnd"/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es 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una </w:t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alteración de la imagen corporal 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que induce a las personas que la padecen a</w:t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 pensar que tienen una apariencia débil o floja, a pesar de estar musculosos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. Esta falsa pe</w:t>
      </w:r>
      <w:r w:rsidR="00B2088B"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rcepción genera conductas como 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acudir al gimnasio de forma excesiva o desarrollar </w:t>
      </w:r>
      <w:r w:rsidR="00B2088B">
        <w:rPr>
          <w:rFonts w:ascii="Arial" w:eastAsia="Times New Roman" w:hAnsi="Arial" w:cs="Arial"/>
          <w:spacing w:val="-6"/>
          <w:sz w:val="24"/>
          <w:szCs w:val="24"/>
          <w:lang w:eastAsia="es-MX"/>
        </w:rPr>
        <w:t>una obsesión por la comida sana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.</w:t>
      </w:r>
    </w:p>
    <w:p w:rsidR="006459A0" w:rsidRDefault="006459A0" w:rsidP="006459A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es-MX"/>
        </w:rPr>
      </w:pP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L</w:t>
      </w:r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a </w:t>
      </w:r>
      <w:proofErr w:type="spellStart"/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>v</w:t>
      </w:r>
      <w:r w:rsidR="00B2088B">
        <w:rPr>
          <w:rFonts w:ascii="Arial" w:eastAsia="Times New Roman" w:hAnsi="Arial" w:cs="Arial"/>
          <w:spacing w:val="-6"/>
          <w:sz w:val="24"/>
          <w:szCs w:val="24"/>
          <w:lang w:eastAsia="es-MX"/>
        </w:rPr>
        <w:t>igorexia</w:t>
      </w:r>
      <w:proofErr w:type="spellEnd"/>
      <w:r w:rsidR="00B2088B"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 </w:t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suele ser más frecuente en hombres entre los 18 y los 35 años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, de los cuales un alto porcentaje </w:t>
      </w:r>
      <w:r w:rsidRPr="006459A0">
        <w:rPr>
          <w:rFonts w:ascii="Arial" w:eastAsia="Times New Roman" w:hAnsi="Arial" w:cs="Arial"/>
          <w:bCs/>
          <w:spacing w:val="-6"/>
          <w:sz w:val="24"/>
          <w:szCs w:val="24"/>
          <w:lang w:eastAsia="es-MX"/>
        </w:rPr>
        <w:t>acuden al gimnasio de forma regular, tienen un perfil narcisista y tienden a la irritabilidad </w:t>
      </w:r>
      <w:r w:rsidRPr="006459A0">
        <w:rPr>
          <w:rFonts w:ascii="Arial" w:eastAsia="Times New Roman" w:hAnsi="Arial" w:cs="Arial"/>
          <w:spacing w:val="-6"/>
          <w:sz w:val="24"/>
          <w:szCs w:val="24"/>
          <w:lang w:eastAsia="es-MX"/>
        </w:rPr>
        <w:t>y a presentar actitudes agresivas</w:t>
      </w:r>
    </w:p>
    <w:p w:rsidR="006459A0" w:rsidRDefault="006459A0" w:rsidP="006459A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es-MX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es-MX"/>
        </w:rPr>
        <w:t xml:space="preserve">La pica es un patrón de ingestión se ciertos materiales como tierra o papel, </w:t>
      </w:r>
      <w:r w:rsidR="00B2088B">
        <w:rPr>
          <w:rFonts w:ascii="Arial" w:eastAsia="Times New Roman" w:hAnsi="Arial" w:cs="Arial"/>
          <w:spacing w:val="-6"/>
          <w:sz w:val="24"/>
          <w:szCs w:val="24"/>
          <w:lang w:eastAsia="es-MX"/>
        </w:rPr>
        <w:t>es decir cosas no comestibles.</w:t>
      </w:r>
    </w:p>
    <w:p w:rsidR="00B2088B" w:rsidRDefault="00B2088B" w:rsidP="006459A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es-MX"/>
        </w:rPr>
      </w:pPr>
    </w:p>
    <w:p w:rsidR="00B2088B" w:rsidRDefault="00B2088B" w:rsidP="006459A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es-MX"/>
        </w:rPr>
      </w:pPr>
    </w:p>
    <w:p w:rsidR="00C8356D" w:rsidRPr="00C8356D" w:rsidRDefault="00B2088B" w:rsidP="0028625E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1"/>
          <w:shd w:val="clear" w:color="auto" w:fill="FFFFFF"/>
        </w:rPr>
      </w:pPr>
      <w:r w:rsidRPr="00B2088B">
        <w:rPr>
          <w:rFonts w:ascii="Arial" w:hAnsi="Arial" w:cs="Arial"/>
          <w:sz w:val="24"/>
          <w:szCs w:val="21"/>
          <w:shd w:val="clear" w:color="auto" w:fill="FFFFFF"/>
        </w:rPr>
        <w:t>La pica también se puede presentar durante el embarazo. En algunos casos, la falta de ciertos nutrientes, como hierro y zinc, pueden desencadenar este deseo vehemente inusual. La pica también puede presentarse en adultos que ansían sentir una cierta textura en la boca.</w:t>
      </w:r>
      <w:r w:rsidR="0028625E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B2088B">
        <w:rPr>
          <w:rFonts w:ascii="Arial" w:hAnsi="Arial" w:cs="Arial"/>
          <w:sz w:val="24"/>
          <w:szCs w:val="21"/>
          <w:shd w:val="clear" w:color="auto" w:fill="FFFFFF"/>
        </w:rPr>
        <w:t>Ortorexia</w:t>
      </w:r>
      <w:proofErr w:type="spellEnd"/>
      <w:r w:rsidRPr="00B2088B">
        <w:rPr>
          <w:rFonts w:ascii="Arial" w:hAnsi="Arial" w:cs="Arial"/>
          <w:sz w:val="24"/>
          <w:szCs w:val="21"/>
          <w:shd w:val="clear" w:color="auto" w:fill="FFFFFF"/>
        </w:rPr>
        <w:t xml:space="preserve"> Trastorno por comer bien, es decir, una obsesión por la comida “saludable”</w:t>
      </w:r>
      <w:r w:rsidR="0028625E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r w:rsidRPr="00C8356D">
        <w:rPr>
          <w:rFonts w:ascii="Arial" w:hAnsi="Arial" w:cs="Arial"/>
          <w:sz w:val="24"/>
        </w:rPr>
        <w:t xml:space="preserve">En cuestión de la anorexia, </w:t>
      </w:r>
      <w:proofErr w:type="spellStart"/>
      <w:r w:rsidRPr="00C8356D">
        <w:rPr>
          <w:rFonts w:ascii="Arial" w:hAnsi="Arial" w:cs="Arial"/>
          <w:sz w:val="24"/>
        </w:rPr>
        <w:t>bulimoa</w:t>
      </w:r>
      <w:proofErr w:type="spellEnd"/>
      <w:r w:rsidRPr="00C8356D">
        <w:rPr>
          <w:rFonts w:ascii="Arial" w:hAnsi="Arial" w:cs="Arial"/>
          <w:sz w:val="24"/>
        </w:rPr>
        <w:t xml:space="preserve">, </w:t>
      </w:r>
      <w:proofErr w:type="spellStart"/>
      <w:r w:rsidRPr="00C8356D">
        <w:rPr>
          <w:rFonts w:ascii="Arial" w:hAnsi="Arial" w:cs="Arial"/>
          <w:sz w:val="24"/>
        </w:rPr>
        <w:t>vigorexia</w:t>
      </w:r>
      <w:proofErr w:type="spellEnd"/>
      <w:r w:rsidRPr="00C8356D">
        <w:rPr>
          <w:rFonts w:ascii="Arial" w:hAnsi="Arial" w:cs="Arial"/>
          <w:sz w:val="24"/>
        </w:rPr>
        <w:t>, se puede determinar por las acciones que estos estén realizando, las comidas que tiene,</w:t>
      </w:r>
      <w:r w:rsidR="00C8356D" w:rsidRPr="00C8356D">
        <w:rPr>
          <w:rFonts w:ascii="Arial" w:hAnsi="Arial" w:cs="Arial"/>
          <w:sz w:val="24"/>
        </w:rPr>
        <w:t xml:space="preserve"> comportamientos y actitudes que lo delataran, exploración física, en cuestión de la anorexia y bulimia, la medida de la circunferencia de c</w:t>
      </w:r>
      <w:r w:rsidR="0028625E">
        <w:rPr>
          <w:rFonts w:ascii="Arial" w:hAnsi="Arial" w:cs="Arial"/>
          <w:sz w:val="24"/>
        </w:rPr>
        <w:t xml:space="preserve">intura. </w:t>
      </w:r>
      <w:r w:rsidR="00C8356D" w:rsidRPr="00C8356D">
        <w:rPr>
          <w:rFonts w:ascii="Arial" w:eastAsia="Times New Roman" w:hAnsi="Arial" w:cs="Arial"/>
          <w:bCs/>
          <w:color w:val="111111"/>
          <w:sz w:val="24"/>
          <w:szCs w:val="24"/>
          <w:lang w:eastAsia="es-MX"/>
        </w:rPr>
        <w:t>Exploración física.</w:t>
      </w:r>
      <w:r w:rsidR="00C8356D" w:rsidRPr="00C8356D">
        <w:rPr>
          <w:rFonts w:ascii="Arial" w:eastAsia="Times New Roman" w:hAnsi="Arial" w:cs="Arial"/>
          <w:color w:val="111111"/>
          <w:sz w:val="24"/>
          <w:szCs w:val="24"/>
          <w:lang w:eastAsia="es-MX"/>
        </w:rPr>
        <w:t> Puede consistir en medirte la estatura y el peso; controlar los signos vitales, como la frecuencia cardíaca, la presión arterial y la temperatura; controlar la piel y las uñas para detectar problemas; escuchar el corazón y los pulmones; y examinar el abdomen.</w:t>
      </w:r>
    </w:p>
    <w:p w:rsidR="00C8356D" w:rsidRDefault="00C8356D" w:rsidP="00C8356D">
      <w:pPr>
        <w:shd w:val="clear" w:color="auto" w:fill="FFFFFF"/>
        <w:spacing w:before="100" w:beforeAutospacing="1" w:after="18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  <w:r w:rsidRPr="00C8356D">
        <w:rPr>
          <w:rFonts w:ascii="Arial" w:eastAsia="Times New Roman" w:hAnsi="Arial" w:cs="Arial"/>
          <w:bCs/>
          <w:color w:val="111111"/>
          <w:sz w:val="24"/>
          <w:szCs w:val="24"/>
          <w:lang w:eastAsia="es-MX"/>
        </w:rPr>
        <w:t>Análisis de laboratorio.</w:t>
      </w:r>
      <w:r w:rsidRPr="00C8356D">
        <w:rPr>
          <w:rFonts w:ascii="Arial" w:eastAsia="Times New Roman" w:hAnsi="Arial" w:cs="Arial"/>
          <w:color w:val="111111"/>
          <w:sz w:val="24"/>
          <w:szCs w:val="24"/>
          <w:lang w:eastAsia="es-MX"/>
        </w:rPr>
        <w:t> Los análisis pueden consistir en un hemograma completo y análisis de sangre más especializados para controlar los electrolitos y las proteínas, además del funcionamiento del hígado, los riñones y la tiroides. También puede hacerse un análisis de orina.</w:t>
      </w:r>
      <w:r w:rsidR="0028625E">
        <w:rPr>
          <w:rFonts w:ascii="Arial" w:eastAsia="Times New Roman" w:hAnsi="Arial" w:cs="Arial"/>
          <w:color w:val="111111"/>
          <w:sz w:val="24"/>
          <w:szCs w:val="24"/>
          <w:lang w:eastAsia="es-MX"/>
        </w:rPr>
        <w:t xml:space="preserve"> </w:t>
      </w:r>
      <w:r w:rsidRPr="00C8356D">
        <w:rPr>
          <w:rFonts w:ascii="Arial" w:eastAsia="Times New Roman" w:hAnsi="Arial" w:cs="Arial"/>
          <w:bCs/>
          <w:color w:val="111111"/>
          <w:sz w:val="24"/>
          <w:szCs w:val="24"/>
          <w:lang w:eastAsia="es-MX"/>
        </w:rPr>
        <w:t>Evaluación psicológica.</w:t>
      </w:r>
      <w:r w:rsidRPr="00C8356D">
        <w:rPr>
          <w:rFonts w:ascii="Arial" w:eastAsia="Times New Roman" w:hAnsi="Arial" w:cs="Arial"/>
          <w:color w:val="111111"/>
          <w:sz w:val="24"/>
          <w:szCs w:val="24"/>
          <w:lang w:eastAsia="es-MX"/>
        </w:rPr>
        <w:t> Es probable que un médico o un profesional de salud mental te hagan preguntas sobre tus pensamientos, sentimientos y hábitos alimentarios. También pueden pedirte que completes cuestionarios de autoevaluación psicológica.</w:t>
      </w:r>
      <w:r w:rsidR="0028625E">
        <w:rPr>
          <w:rFonts w:ascii="Arial" w:eastAsia="Times New Roman" w:hAnsi="Arial" w:cs="Arial"/>
          <w:color w:val="111111"/>
          <w:sz w:val="24"/>
          <w:szCs w:val="24"/>
          <w:lang w:eastAsia="es-MX"/>
        </w:rPr>
        <w:t xml:space="preserve"> </w:t>
      </w:r>
    </w:p>
    <w:p w:rsidR="0028625E" w:rsidRDefault="0028625E" w:rsidP="0028625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pacing w:val="2"/>
        </w:rPr>
      </w:pPr>
      <w:r w:rsidRPr="0028625E">
        <w:rPr>
          <w:rFonts w:ascii="Arial" w:hAnsi="Arial" w:cs="Arial"/>
          <w:color w:val="111111"/>
        </w:rPr>
        <w:t xml:space="preserve">En </w:t>
      </w:r>
      <w:proofErr w:type="spellStart"/>
      <w:r w:rsidRPr="0028625E">
        <w:rPr>
          <w:rFonts w:ascii="Arial" w:hAnsi="Arial" w:cs="Arial"/>
          <w:color w:val="111111"/>
        </w:rPr>
        <w:t>cuestion</w:t>
      </w:r>
      <w:proofErr w:type="spellEnd"/>
      <w:r w:rsidRPr="0028625E">
        <w:rPr>
          <w:rFonts w:ascii="Arial" w:hAnsi="Arial" w:cs="Arial"/>
          <w:color w:val="111111"/>
        </w:rPr>
        <w:t xml:space="preserve"> de la pica </w:t>
      </w:r>
      <w:r w:rsidRPr="0028625E">
        <w:rPr>
          <w:rFonts w:ascii="Arial" w:hAnsi="Arial" w:cs="Arial"/>
          <w:color w:val="000000"/>
          <w:spacing w:val="2"/>
        </w:rPr>
        <w:t xml:space="preserve">Por lo general, lo que comen las personas con pica no les hace daño, pero, a veces, les causa complicaciones, como obstrucciones en el tubo digestivo o envenenamiento por </w:t>
      </w:r>
      <w:proofErr w:type="spellStart"/>
      <w:r w:rsidRPr="0028625E">
        <w:rPr>
          <w:rFonts w:ascii="Arial" w:hAnsi="Arial" w:cs="Arial"/>
          <w:color w:val="000000"/>
          <w:spacing w:val="2"/>
        </w:rPr>
        <w:t>plomo.Los</w:t>
      </w:r>
      <w:proofErr w:type="spellEnd"/>
      <w:r w:rsidRPr="0028625E">
        <w:rPr>
          <w:rFonts w:ascii="Arial" w:hAnsi="Arial" w:cs="Arial"/>
          <w:color w:val="000000"/>
          <w:spacing w:val="2"/>
        </w:rPr>
        <w:t xml:space="preserve"> médicos suelen diagnosticar pica cuando una persona de más de 2 años de edad ha estado comiendo cosas que no son alimentos durante 1 mes o más.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28625E">
        <w:rPr>
          <w:rFonts w:ascii="Arial" w:hAnsi="Arial" w:cs="Arial"/>
          <w:color w:val="000000"/>
          <w:spacing w:val="2"/>
        </w:rPr>
        <w:t>Las técnicas de modificación conductual pueden ser beneficiosas pero se sabe poco acerca de los tratamientos específicos para la pica.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28625E">
        <w:rPr>
          <w:rFonts w:ascii="Arial" w:hAnsi="Arial" w:cs="Arial"/>
          <w:color w:val="000000"/>
          <w:spacing w:val="2"/>
        </w:rPr>
        <w:t>Se tratan las carencias nutricionales y otras complicaciones según sea necesario.</w:t>
      </w:r>
    </w:p>
    <w:p w:rsidR="0028625E" w:rsidRDefault="0028625E" w:rsidP="0028625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pacing w:val="2"/>
        </w:rPr>
      </w:pPr>
    </w:p>
    <w:p w:rsidR="0028625E" w:rsidRPr="0028625E" w:rsidRDefault="0028625E" w:rsidP="0028625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pacing w:val="2"/>
        </w:rPr>
      </w:pPr>
    </w:p>
    <w:p w:rsidR="0028625E" w:rsidRPr="0028625E" w:rsidRDefault="0028625E" w:rsidP="001104F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pacing w:val="2"/>
        </w:rPr>
      </w:pPr>
      <w:r w:rsidRPr="0028625E">
        <w:rPr>
          <w:rFonts w:ascii="Arial" w:hAnsi="Arial" w:cs="Arial"/>
          <w:color w:val="000000"/>
          <w:spacing w:val="2"/>
        </w:rPr>
        <w:t xml:space="preserve">Las personas con pica comen regularmente cosas que no son alimentos (como papel, barro, suciedad o cabello). En niños menores de 2 años, este comportamiento se considera dentro del desarrollo normal. Estos niños frecuentemente se ponen todo tipo de cosas en la boca y a veces se las comen. La pica puede también ocurrir durante el </w:t>
      </w:r>
      <w:proofErr w:type="spellStart"/>
      <w:r w:rsidRPr="0028625E">
        <w:rPr>
          <w:rFonts w:ascii="Arial" w:hAnsi="Arial" w:cs="Arial"/>
          <w:color w:val="000000"/>
          <w:spacing w:val="2"/>
        </w:rPr>
        <w:t>embarazo.Por</w:t>
      </w:r>
      <w:proofErr w:type="spellEnd"/>
      <w:r w:rsidRPr="0028625E">
        <w:rPr>
          <w:rFonts w:ascii="Arial" w:hAnsi="Arial" w:cs="Arial"/>
          <w:color w:val="000000"/>
          <w:spacing w:val="2"/>
        </w:rPr>
        <w:t xml:space="preserve"> lo general, lo que comen las personas con pica no les hace daño. Sin embargo, a veces lo que comen les causa complicaciones, como </w:t>
      </w:r>
      <w:hyperlink r:id="rId9" w:history="1">
        <w:r w:rsidRPr="0028625E">
          <w:rPr>
            <w:rStyle w:val="Hipervnculo"/>
            <w:rFonts w:ascii="Arial" w:hAnsi="Arial" w:cs="Arial"/>
            <w:color w:val="auto"/>
            <w:spacing w:val="2"/>
            <w:u w:val="none"/>
          </w:rPr>
          <w:t>estreñimiento</w:t>
        </w:r>
      </w:hyperlink>
      <w:r w:rsidRPr="0028625E">
        <w:rPr>
          <w:rFonts w:ascii="Arial" w:hAnsi="Arial" w:cs="Arial"/>
          <w:spacing w:val="2"/>
        </w:rPr>
        <w:t>, </w:t>
      </w:r>
      <w:hyperlink r:id="rId10" w:history="1">
        <w:r w:rsidRPr="0028625E">
          <w:rPr>
            <w:rStyle w:val="Hipervnculo"/>
            <w:rFonts w:ascii="Arial" w:hAnsi="Arial" w:cs="Arial"/>
            <w:color w:val="auto"/>
            <w:spacing w:val="2"/>
            <w:u w:val="none"/>
          </w:rPr>
          <w:t>obstrucción del tubo digestivo</w:t>
        </w:r>
      </w:hyperlink>
      <w:r w:rsidRPr="0028625E">
        <w:rPr>
          <w:rFonts w:ascii="Arial" w:hAnsi="Arial" w:cs="Arial"/>
          <w:spacing w:val="2"/>
        </w:rPr>
        <w:t>, </w:t>
      </w:r>
      <w:hyperlink r:id="rId11" w:history="1">
        <w:r w:rsidRPr="0028625E">
          <w:rPr>
            <w:rStyle w:val="Hipervnculo"/>
            <w:rFonts w:ascii="Arial" w:hAnsi="Arial" w:cs="Arial"/>
            <w:color w:val="auto"/>
            <w:spacing w:val="2"/>
            <w:u w:val="none"/>
          </w:rPr>
          <w:t>envenenamiento por plomo</w:t>
        </w:r>
      </w:hyperlink>
      <w:r w:rsidRPr="0028625E">
        <w:rPr>
          <w:rFonts w:ascii="Arial" w:hAnsi="Arial" w:cs="Arial"/>
          <w:color w:val="000000"/>
          <w:spacing w:val="2"/>
        </w:rPr>
        <w:t> por comer virutas de pintura, o una </w:t>
      </w:r>
      <w:hyperlink r:id="rId12" w:history="1">
        <w:r w:rsidRPr="0028625E">
          <w:rPr>
            <w:rStyle w:val="Hipervnculo"/>
            <w:rFonts w:ascii="Arial" w:hAnsi="Arial" w:cs="Arial"/>
            <w:color w:val="auto"/>
            <w:spacing w:val="2"/>
            <w:u w:val="none"/>
          </w:rPr>
          <w:t>infección parasitaria</w:t>
        </w:r>
      </w:hyperlink>
      <w:r w:rsidRPr="0028625E">
        <w:rPr>
          <w:rFonts w:ascii="Arial" w:hAnsi="Arial" w:cs="Arial"/>
          <w:color w:val="000000"/>
          <w:spacing w:val="2"/>
        </w:rPr>
        <w:t> por comer heces.</w:t>
      </w:r>
    </w:p>
    <w:p w:rsidR="0028625E" w:rsidRDefault="0028625E" w:rsidP="002862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pacing w:val="2"/>
        </w:rPr>
      </w:pPr>
      <w:r w:rsidRPr="0028625E">
        <w:rPr>
          <w:rFonts w:ascii="Arial" w:hAnsi="Arial" w:cs="Arial"/>
          <w:color w:val="000000"/>
          <w:spacing w:val="2"/>
        </w:rPr>
        <w:t>La pica por sí misma rara vez altera el funcionamiento social, pero a menudo se produce en personas con otros trastornos mentales que sí repercuten en este. Estos trastornos son el </w:t>
      </w:r>
      <w:hyperlink r:id="rId13" w:history="1">
        <w:r w:rsidRPr="0028625E">
          <w:rPr>
            <w:rStyle w:val="Hipervnculo"/>
            <w:rFonts w:ascii="Arial" w:hAnsi="Arial" w:cs="Arial"/>
            <w:color w:val="auto"/>
            <w:spacing w:val="2"/>
            <w:u w:val="none"/>
          </w:rPr>
          <w:t>autismo</w:t>
        </w:r>
      </w:hyperlink>
      <w:r w:rsidRPr="0028625E">
        <w:rPr>
          <w:rFonts w:ascii="Arial" w:hAnsi="Arial" w:cs="Arial"/>
          <w:color w:val="000000"/>
          <w:spacing w:val="2"/>
        </w:rPr>
        <w:t>, la </w:t>
      </w:r>
      <w:hyperlink r:id="rId14" w:history="1">
        <w:r w:rsidRPr="0028625E">
          <w:rPr>
            <w:rStyle w:val="Hipervnculo"/>
            <w:rFonts w:ascii="Arial" w:hAnsi="Arial" w:cs="Arial"/>
            <w:color w:val="auto"/>
            <w:spacing w:val="2"/>
            <w:u w:val="none"/>
          </w:rPr>
          <w:t>discapacidad intelectual</w:t>
        </w:r>
      </w:hyperlink>
      <w:r w:rsidRPr="0028625E">
        <w:rPr>
          <w:rFonts w:ascii="Arial" w:hAnsi="Arial" w:cs="Arial"/>
          <w:color w:val="000000"/>
          <w:spacing w:val="2"/>
        </w:rPr>
        <w:t> y la </w:t>
      </w:r>
      <w:hyperlink r:id="rId15" w:history="1">
        <w:r w:rsidRPr="0028625E">
          <w:rPr>
            <w:rStyle w:val="Hipervnculo"/>
            <w:rFonts w:ascii="Arial" w:hAnsi="Arial" w:cs="Arial"/>
            <w:color w:val="auto"/>
            <w:spacing w:val="2"/>
            <w:u w:val="none"/>
          </w:rPr>
          <w:t>esquizofrenia</w:t>
        </w:r>
      </w:hyperlink>
      <w:r w:rsidRPr="0028625E"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  <w:spacing w:val="2"/>
        </w:rPr>
        <w:t xml:space="preserve"> El diagnostico seria la </w:t>
      </w:r>
      <w:r>
        <w:rPr>
          <w:rFonts w:ascii="Arial" w:hAnsi="Arial" w:cs="Arial"/>
          <w:spacing w:val="2"/>
        </w:rPr>
        <w:t>e</w:t>
      </w:r>
      <w:r w:rsidRPr="0028625E">
        <w:rPr>
          <w:rFonts w:ascii="Arial" w:hAnsi="Arial" w:cs="Arial"/>
          <w:spacing w:val="2"/>
        </w:rPr>
        <w:t>valuación médica</w:t>
      </w:r>
      <w:r>
        <w:rPr>
          <w:rFonts w:ascii="Arial" w:hAnsi="Arial" w:cs="Arial"/>
          <w:color w:val="000000"/>
          <w:spacing w:val="2"/>
        </w:rPr>
        <w:t xml:space="preserve"> también las </w:t>
      </w:r>
      <w:r w:rsidRPr="0028625E">
        <w:rPr>
          <w:rFonts w:ascii="Arial" w:hAnsi="Arial" w:cs="Arial"/>
          <w:spacing w:val="2"/>
        </w:rPr>
        <w:t>Pruebas para detectar posibles complicaciones</w:t>
      </w:r>
      <w:r>
        <w:rPr>
          <w:rFonts w:ascii="Arial" w:hAnsi="Arial" w:cs="Arial"/>
          <w:color w:val="000000"/>
          <w:spacing w:val="2"/>
        </w:rPr>
        <w:t xml:space="preserve">. </w:t>
      </w:r>
      <w:r w:rsidRPr="0028625E">
        <w:rPr>
          <w:rFonts w:ascii="Arial" w:hAnsi="Arial" w:cs="Arial"/>
          <w:spacing w:val="2"/>
        </w:rPr>
        <w:t>La pica se diagnostica cuando la persona come repetidamente cosas que no son alimentos durante 1 mes o más. El trastorno no se diagnostica en niños menores de 2 años, ya que a esa edad el hecho de comer ese tipo de materiales se considera parte del desarrollo normal. Tampoco se diagnostica cuando forma parte de la cultura de la persona.</w:t>
      </w:r>
    </w:p>
    <w:p w:rsidR="001104F1" w:rsidRPr="0028625E" w:rsidRDefault="001104F1" w:rsidP="002862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2"/>
        </w:rPr>
      </w:pPr>
      <w:bookmarkStart w:id="0" w:name="_GoBack"/>
      <w:bookmarkEnd w:id="0"/>
    </w:p>
    <w:p w:rsidR="0028625E" w:rsidRPr="0028625E" w:rsidRDefault="0028625E" w:rsidP="002862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pacing w:val="2"/>
        </w:rPr>
      </w:pPr>
      <w:r w:rsidRPr="0028625E">
        <w:rPr>
          <w:rFonts w:ascii="Arial" w:hAnsi="Arial" w:cs="Arial"/>
          <w:spacing w:val="2"/>
        </w:rPr>
        <w:t>Si los médicos sospechan la presencia del trastorno, valoran el </w:t>
      </w:r>
      <w:hyperlink r:id="rId16" w:anchor="v12819293_es" w:history="1">
        <w:r w:rsidRPr="0028625E">
          <w:rPr>
            <w:rStyle w:val="Hipervnculo"/>
            <w:rFonts w:ascii="Arial" w:hAnsi="Arial" w:cs="Arial"/>
            <w:color w:val="auto"/>
            <w:spacing w:val="2"/>
            <w:u w:val="none"/>
          </w:rPr>
          <w:t>estado nutricional</w:t>
        </w:r>
      </w:hyperlink>
      <w:r w:rsidRPr="0028625E">
        <w:rPr>
          <w:rFonts w:ascii="Arial" w:hAnsi="Arial" w:cs="Arial"/>
          <w:spacing w:val="2"/>
        </w:rPr>
        <w:t> para comprobar si hay pérdida de peso y deficiencias nutricionales.</w:t>
      </w:r>
    </w:p>
    <w:p w:rsidR="0028625E" w:rsidRPr="0028625E" w:rsidRDefault="0028625E" w:rsidP="0028625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pacing w:val="2"/>
        </w:rPr>
      </w:pPr>
      <w:r w:rsidRPr="0028625E">
        <w:rPr>
          <w:rFonts w:ascii="Arial" w:hAnsi="Arial" w:cs="Arial"/>
          <w:spacing w:val="2"/>
        </w:rPr>
        <w:t>A veces la pica se diagnostica cuando la persona afectada presenta síntomas de obstrucción del tubo digestivo (como calambres intensos o estreñimiento) o envenenamiento por plomo y se le lleva a la unidad de emergencias para que le vea un médico.</w:t>
      </w:r>
    </w:p>
    <w:p w:rsidR="001104F1" w:rsidRDefault="001104F1" w:rsidP="0028625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pacing w:val="2"/>
        </w:rPr>
      </w:pPr>
    </w:p>
    <w:p w:rsidR="001104F1" w:rsidRDefault="001104F1" w:rsidP="0028625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pacing w:val="2"/>
        </w:rPr>
      </w:pPr>
    </w:p>
    <w:p w:rsidR="001104F1" w:rsidRDefault="001104F1" w:rsidP="0028625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pacing w:val="2"/>
        </w:rPr>
      </w:pPr>
    </w:p>
    <w:p w:rsidR="001104F1" w:rsidRDefault="001104F1" w:rsidP="0028625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pacing w:val="2"/>
        </w:rPr>
      </w:pPr>
    </w:p>
    <w:p w:rsidR="001104F1" w:rsidRDefault="001104F1" w:rsidP="0028625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pacing w:val="2"/>
        </w:rPr>
      </w:pPr>
    </w:p>
    <w:p w:rsidR="0028625E" w:rsidRPr="0028625E" w:rsidRDefault="0028625E" w:rsidP="0028625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pacing w:val="2"/>
        </w:rPr>
      </w:pPr>
      <w:r w:rsidRPr="0028625E">
        <w:rPr>
          <w:rFonts w:ascii="Arial" w:hAnsi="Arial" w:cs="Arial"/>
          <w:spacing w:val="2"/>
        </w:rPr>
        <w:t>Puede realizarse una exploración radiológica para detectar bloqueos en el tubo digestivo.</w:t>
      </w:r>
      <w:r w:rsidRPr="0028625E">
        <w:rPr>
          <w:rFonts w:ascii="Arial" w:hAnsi="Arial" w:cs="Arial"/>
          <w:spacing w:val="2"/>
        </w:rPr>
        <w:t xml:space="preserve"> </w:t>
      </w:r>
      <w:r w:rsidRPr="0028625E">
        <w:rPr>
          <w:rFonts w:ascii="Arial" w:hAnsi="Arial" w:cs="Arial"/>
          <w:spacing w:val="2"/>
        </w:rPr>
        <w:t>Los médicos pueden pedir análisis de sangre para verificar si hay intoxicación por plomo o análisis de heces para buscar una infección parasitaria.</w:t>
      </w:r>
      <w:r w:rsidRPr="0028625E">
        <w:rPr>
          <w:rFonts w:ascii="Arial" w:hAnsi="Arial" w:cs="Arial"/>
          <w:spacing w:val="2"/>
        </w:rPr>
        <w:t xml:space="preserve"> Tratamiento  seria </w:t>
      </w:r>
      <w:r w:rsidRPr="0028625E">
        <w:rPr>
          <w:rFonts w:ascii="Arial" w:hAnsi="Arial" w:cs="Arial"/>
          <w:spacing w:val="2"/>
        </w:rPr>
        <w:t>modificación conductual</w:t>
      </w:r>
      <w:r w:rsidRPr="0028625E">
        <w:rPr>
          <w:rFonts w:ascii="Arial" w:hAnsi="Arial" w:cs="Arial"/>
          <w:spacing w:val="2"/>
        </w:rPr>
        <w:t xml:space="preserve">, </w:t>
      </w:r>
      <w:r w:rsidRPr="0028625E">
        <w:rPr>
          <w:rFonts w:ascii="Arial" w:hAnsi="Arial" w:cs="Arial"/>
          <w:spacing w:val="2"/>
        </w:rPr>
        <w:t>Tratamiento de los déficits nutricionales y otras complicaciones</w:t>
      </w:r>
      <w:r w:rsidRPr="0028625E">
        <w:rPr>
          <w:rFonts w:ascii="Arial" w:hAnsi="Arial" w:cs="Arial"/>
          <w:spacing w:val="2"/>
        </w:rPr>
        <w:t xml:space="preserve">, </w:t>
      </w:r>
      <w:r w:rsidRPr="0028625E">
        <w:rPr>
          <w:rFonts w:ascii="Arial" w:hAnsi="Arial" w:cs="Arial"/>
          <w:spacing w:val="2"/>
        </w:rPr>
        <w:t>Las técnicas de modificación conductual pueden ser beneficiosas pero se sabe poco acerca de los tratamientos específicos para este trastorno. Las técnicas de modificación conductual ayudan al paciente a desaprender conductas no deseables en tanto que aprende otras que sí lo son.</w:t>
      </w:r>
      <w:r w:rsidRPr="0028625E">
        <w:rPr>
          <w:rFonts w:ascii="Arial" w:hAnsi="Arial" w:cs="Arial"/>
          <w:spacing w:val="2"/>
        </w:rPr>
        <w:t xml:space="preserve"> </w:t>
      </w:r>
      <w:r w:rsidRPr="0028625E">
        <w:rPr>
          <w:rFonts w:ascii="Arial" w:hAnsi="Arial" w:cs="Arial"/>
          <w:spacing w:val="2"/>
        </w:rPr>
        <w:t>Se tratan las carencias nutricionales y otras complicaciones según sea necesario. Los bloqueos en el tubo digestivo pueden requerir cirugía.</w:t>
      </w:r>
      <w:r w:rsidRPr="0028625E">
        <w:rPr>
          <w:rFonts w:ascii="Arial" w:hAnsi="Arial" w:cs="Arial"/>
          <w:spacing w:val="2"/>
        </w:rPr>
        <w:t xml:space="preserve"> </w:t>
      </w:r>
      <w:r w:rsidRPr="0028625E">
        <w:rPr>
          <w:rFonts w:ascii="Arial" w:hAnsi="Arial" w:cs="Arial"/>
          <w:spacing w:val="2"/>
        </w:rPr>
        <w:t>La pica puede durar varios meses y después desaparece por sí solo, sobre todo en los niños.</w:t>
      </w:r>
    </w:p>
    <w:p w:rsidR="0028625E" w:rsidRDefault="0028625E" w:rsidP="00C8356D">
      <w:pPr>
        <w:shd w:val="clear" w:color="auto" w:fill="FFFFFF"/>
        <w:spacing w:before="100" w:beforeAutospacing="1" w:after="18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</w:p>
    <w:p w:rsidR="00C8356D" w:rsidRDefault="00C8356D" w:rsidP="00C8356D">
      <w:pPr>
        <w:shd w:val="clear" w:color="auto" w:fill="FFFFFF"/>
        <w:spacing w:before="100" w:beforeAutospacing="1" w:after="18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</w:p>
    <w:p w:rsidR="00C8356D" w:rsidRPr="00C8356D" w:rsidRDefault="00C8356D" w:rsidP="00C8356D">
      <w:pPr>
        <w:shd w:val="clear" w:color="auto" w:fill="FFFFFF"/>
        <w:spacing w:before="100" w:beforeAutospacing="1" w:after="18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</w:p>
    <w:p w:rsidR="00C8356D" w:rsidRPr="00C8356D" w:rsidRDefault="00C8356D" w:rsidP="00C8356D">
      <w:pPr>
        <w:spacing w:line="360" w:lineRule="auto"/>
        <w:rPr>
          <w:rFonts w:ascii="Arial" w:hAnsi="Arial" w:cs="Arial"/>
          <w:sz w:val="24"/>
        </w:rPr>
      </w:pPr>
    </w:p>
    <w:sectPr w:rsidR="00C8356D" w:rsidRPr="00C83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1C05"/>
    <w:multiLevelType w:val="multilevel"/>
    <w:tmpl w:val="441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238E"/>
    <w:multiLevelType w:val="multilevel"/>
    <w:tmpl w:val="5E8A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77CE9"/>
    <w:multiLevelType w:val="multilevel"/>
    <w:tmpl w:val="984C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D2A86"/>
    <w:multiLevelType w:val="multilevel"/>
    <w:tmpl w:val="3572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A0"/>
    <w:rsid w:val="001104F1"/>
    <w:rsid w:val="0028625E"/>
    <w:rsid w:val="006459A0"/>
    <w:rsid w:val="00A7122E"/>
    <w:rsid w:val="00B2088B"/>
    <w:rsid w:val="00C8356D"/>
    <w:rsid w:val="00F7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5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45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459A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4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459A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459A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45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5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45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459A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4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459A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459A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45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465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idateplus.marca.com/enfermedades/digestivas/obesidad.html.html" TargetMode="External"/><Relationship Id="rId13" Type="http://schemas.openxmlformats.org/officeDocument/2006/relationships/hyperlink" Target="https://www.msdmanuals.com/es/hogar/salud-infantil/trastornos-del-aprendizaje-y-del-desarrollo/trastornos-del-espectro-autist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uidateplus.marca.com/enfermedades/psiquiatricas/bulimia.html" TargetMode="External"/><Relationship Id="rId12" Type="http://schemas.openxmlformats.org/officeDocument/2006/relationships/hyperlink" Target="https://www.msdmanuals.com/es/hogar/infecciones/infecciones-parasitarias-introducci%C3%B3n/introducci%C3%B3n-a-las-infecciones-parasitaria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sdmanuals.com/es/hogar/trastornos-nutricionales/introducci%C3%B3n-a-la-nutrici%C3%B3n/introducci%C3%B3n-a-la-nutrici%C3%B3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uidateplus.marca.com/enfermedades/psiquiatricas/anorexia.html" TargetMode="External"/><Relationship Id="rId11" Type="http://schemas.openxmlformats.org/officeDocument/2006/relationships/hyperlink" Target="https://www.msdmanuals.com/es/hogar/traumatismos-y-envenenamientos/intoxicaciones-o-envenenamientos/intoxicaci%C3%B3n-envenenamiento-por-plom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sdmanuals.com/es/hogar/trastornos-de-la-salud-mental/esquizofrenia-y-trastornos-relacionados/esquizofrenia" TargetMode="External"/><Relationship Id="rId10" Type="http://schemas.openxmlformats.org/officeDocument/2006/relationships/hyperlink" Target="https://www.msdmanuals.com/es/hogar/trastornos-gastrointestinales/urgencias-gastrointestinales/obstrucci%C3%B3n-intesti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dmanuals.com/es/hogar/trastornos-gastrointestinales/s%C3%ADntomas-de-los-trastornos-digestivos/estre%C3%B1imiento-en-adultos" TargetMode="External"/><Relationship Id="rId14" Type="http://schemas.openxmlformats.org/officeDocument/2006/relationships/hyperlink" Target="https://www.msdmanuals.com/es/hogar/salud-infantil/trastornos-del-aprendizaje-y-del-desarrollo/discapacidad-intelectu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1232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1</cp:revision>
  <dcterms:created xsi:type="dcterms:W3CDTF">2020-06-13T02:07:00Z</dcterms:created>
  <dcterms:modified xsi:type="dcterms:W3CDTF">2020-06-13T02:50:00Z</dcterms:modified>
</cp:coreProperties>
</file>