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556C" w:rsidRDefault="00FB556C" w:rsidP="00FB556C">
      <w:pPr>
        <w:rPr>
          <w:rFonts w:ascii="Lucida Calligraphy" w:hAnsi="Lucida Calligraphy"/>
          <w:b/>
          <w:sz w:val="20"/>
          <w:szCs w:val="20"/>
          <w:u w:val="single"/>
        </w:rPr>
      </w:pPr>
      <w:bookmarkStart w:id="0" w:name="_Hlk19293866"/>
      <w:r>
        <w:rPr>
          <w:rFonts w:ascii="Lucida Calligraphy" w:hAnsi="Lucida Calligraphy"/>
          <w:b/>
          <w:noProof/>
          <w:sz w:val="20"/>
          <w:szCs w:val="20"/>
        </w:rPr>
        <w:drawing>
          <wp:inline distT="0" distB="0" distL="0" distR="0" wp14:anchorId="5EF976A2" wp14:editId="23490BBB">
            <wp:extent cx="2152650" cy="1323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74" b="23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56C" w:rsidRDefault="00FB556C" w:rsidP="00FB556C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Catedrático</w:t>
      </w:r>
    </w:p>
    <w:p w:rsidR="00FB556C" w:rsidRDefault="00FB556C" w:rsidP="00FB556C">
      <w:pPr>
        <w:rPr>
          <w:rFonts w:ascii="Lucida Calligraphy" w:hAnsi="Lucida Calligraphy"/>
          <w:color w:val="2E74B5" w:themeColor="accent5" w:themeShade="BF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 xml:space="preserve"> </w:t>
      </w:r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Lic. </w:t>
      </w:r>
      <w:proofErr w:type="spellStart"/>
      <w:r>
        <w:rPr>
          <w:rFonts w:ascii="Lucida Calligraphy" w:hAnsi="Lucida Calligraphy"/>
          <w:color w:val="2E74B5" w:themeColor="accent5" w:themeShade="BF"/>
          <w:sz w:val="32"/>
          <w:szCs w:val="32"/>
        </w:rPr>
        <w:t>Tahiri</w:t>
      </w:r>
      <w:proofErr w:type="spellEnd"/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 de los santos </w:t>
      </w:r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   </w:t>
      </w:r>
    </w:p>
    <w:p w:rsidR="00FB556C" w:rsidRDefault="00FB556C" w:rsidP="00FB556C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Presentado</w:t>
      </w:r>
    </w:p>
    <w:p w:rsidR="00FB556C" w:rsidRDefault="00FB556C" w:rsidP="00FB556C">
      <w:pPr>
        <w:rPr>
          <w:rFonts w:ascii="Lucida Calligraphy" w:hAnsi="Lucida Calligraphy"/>
          <w:color w:val="2E74B5" w:themeColor="accent5" w:themeShade="BF"/>
          <w:sz w:val="32"/>
          <w:szCs w:val="32"/>
        </w:rPr>
      </w:pPr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Amairany de la cruz Vázquez </w:t>
      </w:r>
    </w:p>
    <w:p w:rsidR="00FB556C" w:rsidRDefault="00FB556C" w:rsidP="00FB556C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Tema</w:t>
      </w:r>
    </w:p>
    <w:p w:rsidR="00FB556C" w:rsidRDefault="00FB556C" w:rsidP="00FB556C">
      <w:pPr>
        <w:rPr>
          <w:rFonts w:ascii="Lucida Calligraphy" w:hAnsi="Lucida Calligraphy"/>
          <w:color w:val="2E74B5" w:themeColor="accent5" w:themeShade="BF"/>
          <w:sz w:val="32"/>
          <w:szCs w:val="32"/>
        </w:rPr>
      </w:pPr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Síntesis del prologo </w:t>
      </w:r>
    </w:p>
    <w:p w:rsidR="00FB556C" w:rsidRDefault="00FB556C" w:rsidP="00FB556C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Materia</w:t>
      </w:r>
    </w:p>
    <w:p w:rsidR="00FB556C" w:rsidRDefault="00FB556C" w:rsidP="00FB556C">
      <w:pPr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Procesos culturales </w:t>
      </w:r>
    </w:p>
    <w:p w:rsidR="00FB556C" w:rsidRDefault="00FB556C" w:rsidP="00FB556C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Modalidad                     turno</w:t>
      </w:r>
    </w:p>
    <w:p w:rsidR="00FB556C" w:rsidRDefault="00FB556C" w:rsidP="00FB556C">
      <w:pPr>
        <w:rPr>
          <w:rFonts w:ascii="Lucida Calligraphy" w:hAnsi="Lucida Calligraphy"/>
          <w:color w:val="2E74B5" w:themeColor="accent5" w:themeShade="BF"/>
          <w:sz w:val="32"/>
          <w:szCs w:val="32"/>
        </w:rPr>
      </w:pPr>
      <w:r>
        <w:rPr>
          <w:rFonts w:ascii="Lucida Calligraphy" w:hAnsi="Lucida Calligraphy"/>
          <w:color w:val="2E74B5" w:themeColor="accent5" w:themeShade="BF"/>
          <w:sz w:val="32"/>
          <w:szCs w:val="32"/>
        </w:rPr>
        <w:t>Semi escolarizado        sábados</w:t>
      </w:r>
    </w:p>
    <w:p w:rsidR="00FB556C" w:rsidRDefault="00FB556C" w:rsidP="00FB556C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Grado             Grupo</w:t>
      </w:r>
    </w:p>
    <w:p w:rsidR="00FB556C" w:rsidRDefault="00FB556C" w:rsidP="00FB556C">
      <w:pPr>
        <w:rPr>
          <w:rFonts w:ascii="Lucida Calligraphy" w:hAnsi="Lucida Calligraphy"/>
          <w:color w:val="2E74B5" w:themeColor="accent5" w:themeShade="BF"/>
          <w:sz w:val="32"/>
          <w:szCs w:val="32"/>
        </w:rPr>
      </w:pPr>
      <w:proofErr w:type="gramStart"/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6”   </w:t>
      </w:r>
      <w:proofErr w:type="gramEnd"/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                A”</w:t>
      </w:r>
    </w:p>
    <w:p w:rsidR="00FB556C" w:rsidRDefault="00FB556C" w:rsidP="00FB556C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Licenciatura</w:t>
      </w:r>
    </w:p>
    <w:p w:rsidR="00FB556C" w:rsidRDefault="00FB556C" w:rsidP="00FB556C">
      <w:pPr>
        <w:rPr>
          <w:rFonts w:ascii="Lucida Calligraphy" w:hAnsi="Lucida Calligraphy"/>
          <w:color w:val="2E74B5" w:themeColor="accent5" w:themeShade="BF"/>
          <w:sz w:val="32"/>
          <w:szCs w:val="32"/>
        </w:rPr>
      </w:pPr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Psicología general </w:t>
      </w:r>
    </w:p>
    <w:p w:rsidR="00FB556C" w:rsidRDefault="00FB556C" w:rsidP="00FB556C">
      <w:pPr>
        <w:jc w:val="right"/>
        <w:rPr>
          <w:color w:val="2E74B5" w:themeColor="accent5" w:themeShade="BF"/>
          <w:sz w:val="20"/>
          <w:szCs w:val="20"/>
        </w:rPr>
      </w:pPr>
    </w:p>
    <w:p w:rsidR="00FB556C" w:rsidRDefault="00FB556C" w:rsidP="00FB556C">
      <w:pPr>
        <w:jc w:val="right"/>
        <w:rPr>
          <w:color w:val="2E74B5" w:themeColor="accent5" w:themeShade="BF"/>
          <w:sz w:val="20"/>
          <w:szCs w:val="20"/>
        </w:rPr>
      </w:pPr>
      <w:r>
        <w:rPr>
          <w:color w:val="2E74B5" w:themeColor="accent5" w:themeShade="BF"/>
          <w:sz w:val="20"/>
          <w:szCs w:val="20"/>
        </w:rPr>
        <w:t xml:space="preserve">Pichucalco, Chiapas </w:t>
      </w:r>
      <w:bookmarkEnd w:id="0"/>
      <w:r>
        <w:rPr>
          <w:color w:val="2E74B5" w:themeColor="accent5" w:themeShade="BF"/>
          <w:sz w:val="20"/>
          <w:szCs w:val="20"/>
        </w:rPr>
        <w:t>7</w:t>
      </w:r>
      <w:r>
        <w:rPr>
          <w:color w:val="2E74B5" w:themeColor="accent5" w:themeShade="BF"/>
          <w:sz w:val="20"/>
          <w:szCs w:val="20"/>
        </w:rPr>
        <w:t xml:space="preserve"> de mayo del 2020</w:t>
      </w:r>
    </w:p>
    <w:p w:rsidR="00E568D5" w:rsidRDefault="00E568D5"/>
    <w:p w:rsidR="00FB556C" w:rsidRDefault="00FB556C"/>
    <w:p w:rsidR="00FB556C" w:rsidRDefault="00FB556C"/>
    <w:p w:rsidR="00FB556C" w:rsidRPr="00FB556C" w:rsidRDefault="00FB556C" w:rsidP="00FB556C">
      <w:pPr>
        <w:spacing w:line="360" w:lineRule="auto"/>
        <w:jc w:val="center"/>
        <w:rPr>
          <w:rFonts w:ascii="Lucida Handwriting" w:hAnsi="Lucida Handwriting"/>
          <w:color w:val="0070C0"/>
          <w:sz w:val="24"/>
          <w:szCs w:val="24"/>
        </w:rPr>
      </w:pPr>
      <w:r w:rsidRPr="00FB556C">
        <w:rPr>
          <w:rFonts w:ascii="Lucida Handwriting" w:hAnsi="Lucida Handwriting"/>
          <w:color w:val="0070C0"/>
          <w:sz w:val="24"/>
          <w:szCs w:val="24"/>
        </w:rPr>
        <w:lastRenderedPageBreak/>
        <w:t>EL CUCHILLO QUE APRIETA CONTRA EL FUTURO</w:t>
      </w:r>
      <w:r>
        <w:rPr>
          <w:rFonts w:ascii="Lucida Handwriting" w:hAnsi="Lucida Handwriting"/>
          <w:color w:val="0070C0"/>
          <w:sz w:val="24"/>
          <w:szCs w:val="24"/>
        </w:rPr>
        <w:t xml:space="preserve">                </w:t>
      </w:r>
      <w:proofErr w:type="gramStart"/>
      <w:r>
        <w:rPr>
          <w:rFonts w:ascii="Lucida Handwriting" w:hAnsi="Lucida Handwriting"/>
          <w:color w:val="0070C0"/>
          <w:sz w:val="24"/>
          <w:szCs w:val="24"/>
        </w:rPr>
        <w:t xml:space="preserve">   (</w:t>
      </w:r>
      <w:proofErr w:type="gramEnd"/>
      <w:r>
        <w:rPr>
          <w:rFonts w:ascii="Lucida Handwriting" w:hAnsi="Lucida Handwriting"/>
          <w:color w:val="0070C0"/>
          <w:sz w:val="24"/>
          <w:szCs w:val="24"/>
        </w:rPr>
        <w:t>Joaquín herrera flores)</w:t>
      </w:r>
    </w:p>
    <w:p w:rsidR="00FB556C" w:rsidRPr="00FB556C" w:rsidRDefault="00FB556C" w:rsidP="00FB556C">
      <w:pPr>
        <w:spacing w:line="360" w:lineRule="auto"/>
        <w:jc w:val="both"/>
        <w:rPr>
          <w:sz w:val="24"/>
          <w:szCs w:val="24"/>
        </w:rPr>
      </w:pPr>
      <w:r w:rsidRPr="00FB556C">
        <w:rPr>
          <w:sz w:val="24"/>
          <w:szCs w:val="24"/>
        </w:rPr>
        <w:t xml:space="preserve">Te das cuenta de que cada persona ve la cultura de diferente manera y el la veía de una manera muy creativa a como su propio ser lo interpretaba también lo asimilaba con otros hechos como el poder hacer y el poder crear lleno de responsabilidades y compromiso con la opresión, mencionaba que era muy difícil trabajar con la categoría cultural por que el conocimiento era dividido  independiente e irreconciliables o el simple hecho de que más civilización es menos independencia de cultura también mencionaba el cambio a mejorar la cultura o transformarla en independencia pero esto se convertía </w:t>
      </w:r>
      <w:proofErr w:type="spellStart"/>
      <w:r w:rsidRPr="00FB556C">
        <w:rPr>
          <w:sz w:val="24"/>
          <w:szCs w:val="24"/>
        </w:rPr>
        <w:t>mas</w:t>
      </w:r>
      <w:proofErr w:type="spellEnd"/>
      <w:r w:rsidRPr="00FB556C">
        <w:rPr>
          <w:sz w:val="24"/>
          <w:szCs w:val="24"/>
        </w:rPr>
        <w:t xml:space="preserve"> en una lucha de monopolizar culturalmente al mundo desviándolo del verdadero objetivo que era a un verdadero cambio cultural</w:t>
      </w:r>
    </w:p>
    <w:p w:rsidR="00FB556C" w:rsidRPr="00FB556C" w:rsidRDefault="00FB556C" w:rsidP="00FB556C">
      <w:pPr>
        <w:spacing w:line="360" w:lineRule="auto"/>
        <w:jc w:val="both"/>
        <w:rPr>
          <w:sz w:val="24"/>
          <w:szCs w:val="24"/>
        </w:rPr>
      </w:pPr>
      <w:r w:rsidRPr="00FB556C">
        <w:rPr>
          <w:sz w:val="24"/>
          <w:szCs w:val="24"/>
        </w:rPr>
        <w:t xml:space="preserve">Todo humano </w:t>
      </w:r>
      <w:proofErr w:type="gramStart"/>
      <w:r w:rsidRPr="00FB556C">
        <w:rPr>
          <w:sz w:val="24"/>
          <w:szCs w:val="24"/>
        </w:rPr>
        <w:t>reacciona  al</w:t>
      </w:r>
      <w:proofErr w:type="gramEnd"/>
      <w:r w:rsidRPr="00FB556C">
        <w:rPr>
          <w:sz w:val="24"/>
          <w:szCs w:val="24"/>
        </w:rPr>
        <w:t xml:space="preserve"> entorno o relaciones en la que vivimos aun que se haga diferenciada y pluralmente obteniéndolas de diversas jerarquías no se encuentra una cultura superior o inferior, al existir diferentes relaciones con otros o con nosotros mismos, las relaciones culturales se vuelven diferentes pero nunca inferiores o superiores lo que nos hace ver entre pueblos y civilizaciones  pero existe la capacidad humana genérica de reaccionar frente a todo lo demás será violencia </w:t>
      </w:r>
    </w:p>
    <w:p w:rsidR="00FB556C" w:rsidRPr="00FB556C" w:rsidRDefault="00FB556C" w:rsidP="00FB556C">
      <w:pPr>
        <w:spacing w:line="360" w:lineRule="auto"/>
        <w:jc w:val="both"/>
        <w:rPr>
          <w:sz w:val="24"/>
          <w:szCs w:val="24"/>
        </w:rPr>
      </w:pPr>
      <w:r w:rsidRPr="00FB556C">
        <w:rPr>
          <w:sz w:val="24"/>
          <w:szCs w:val="24"/>
        </w:rPr>
        <w:t xml:space="preserve">Se menciona que la cultura ha sido una base de intereses o una clase de poder y dominación los que han impedido un cambio cultural lo cual menciona que es urgente comenzar una nueva cultura sin los textos jurídicos en la que prime la indagación frente a las injusticias la explotación, </w:t>
      </w:r>
      <w:proofErr w:type="spellStart"/>
      <w:r w:rsidRPr="00FB556C">
        <w:rPr>
          <w:sz w:val="24"/>
          <w:szCs w:val="24"/>
        </w:rPr>
        <w:t>el</w:t>
      </w:r>
      <w:proofErr w:type="spellEnd"/>
      <w:r w:rsidRPr="00FB556C">
        <w:rPr>
          <w:sz w:val="24"/>
          <w:szCs w:val="24"/>
        </w:rPr>
        <w:t xml:space="preserve"> nos deja ver todos aquellos bloques ideológicos que nos impiden relacionarnos intelectualmente una manera de ver que somos capaces de crear y trasformar al mundo </w:t>
      </w:r>
    </w:p>
    <w:p w:rsidR="00FB556C" w:rsidRPr="00FB556C" w:rsidRDefault="00FB556C" w:rsidP="00FB556C">
      <w:pPr>
        <w:spacing w:line="360" w:lineRule="auto"/>
        <w:jc w:val="both"/>
        <w:rPr>
          <w:sz w:val="24"/>
          <w:szCs w:val="24"/>
        </w:rPr>
      </w:pPr>
      <w:r w:rsidRPr="00FB556C">
        <w:rPr>
          <w:sz w:val="24"/>
          <w:szCs w:val="24"/>
        </w:rPr>
        <w:t xml:space="preserve">Menciona que todo es transformable todo depende de nuestra capacidad humana de crear el mundo en que vivimos </w:t>
      </w:r>
    </w:p>
    <w:p w:rsidR="00FB556C" w:rsidRPr="00FB556C" w:rsidRDefault="00FB556C" w:rsidP="00FB556C">
      <w:pPr>
        <w:spacing w:line="360" w:lineRule="auto"/>
        <w:jc w:val="both"/>
        <w:rPr>
          <w:sz w:val="24"/>
          <w:szCs w:val="24"/>
        </w:rPr>
      </w:pPr>
    </w:p>
    <w:sectPr w:rsidR="00FB556C" w:rsidRPr="00FB55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6C"/>
    <w:rsid w:val="005E4CE6"/>
    <w:rsid w:val="008C2EDF"/>
    <w:rsid w:val="00E568D5"/>
    <w:rsid w:val="00FB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A0C5D"/>
  <w15:chartTrackingRefBased/>
  <w15:docId w15:val="{F95F47D7-8B02-4650-8905-045D783C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56C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1</cp:revision>
  <dcterms:created xsi:type="dcterms:W3CDTF">2020-05-09T03:44:00Z</dcterms:created>
  <dcterms:modified xsi:type="dcterms:W3CDTF">2020-05-09T03:49:00Z</dcterms:modified>
</cp:coreProperties>
</file>