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D9" w:rsidRDefault="00CB17D9" w:rsidP="00CB17D9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inline distT="0" distB="0" distL="0" distR="0" wp14:anchorId="7933D93C" wp14:editId="5521D565">
            <wp:extent cx="2164080" cy="1847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noProof/>
          <w:lang w:eastAsia="es-MX"/>
        </w:rPr>
        <w:drawing>
          <wp:inline distT="0" distB="0" distL="0" distR="0" wp14:anchorId="0E04749D" wp14:editId="5BFA543F">
            <wp:extent cx="2152015" cy="1847215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>DOCENTE:</w:t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>DR. EDUARDO ZEBADUA GUILLEN</w:t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>ALUMNO:</w:t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>JONATHAN SURIANO CRUZ.</w:t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>MATERIA:</w:t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 xml:space="preserve">FISIOPATOLOGIA </w:t>
      </w: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Default="00CB17D9" w:rsidP="00CB17D9">
      <w:pPr>
        <w:jc w:val="center"/>
        <w:rPr>
          <w:rFonts w:ascii="Arial" w:hAnsi="Arial" w:cs="Arial"/>
          <w:sz w:val="24"/>
          <w:szCs w:val="24"/>
        </w:rPr>
      </w:pPr>
      <w:r w:rsidRPr="001363B9">
        <w:rPr>
          <w:rFonts w:ascii="Arial" w:hAnsi="Arial" w:cs="Arial"/>
          <w:sz w:val="24"/>
          <w:szCs w:val="24"/>
        </w:rPr>
        <w:t>TEMA:</w:t>
      </w:r>
    </w:p>
    <w:p w:rsidR="00CB17D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 w:rsidRPr="00CB17D9"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>NEURALGIA DEL TRIGÉMINO Y NEUROPATÍA DIABÉTICA</w:t>
      </w: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</w:p>
    <w:p w:rsidR="00CB17D9" w:rsidRDefault="00CB17D9" w:rsidP="00CB17D9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</w:p>
    <w:p w:rsidR="00CB17D9" w:rsidRDefault="00CB17D9" w:rsidP="00CB17D9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 xml:space="preserve">Definición </w:t>
      </w:r>
    </w:p>
    <w:p w:rsidR="00CB17D9" w:rsidRDefault="00CB17D9" w:rsidP="00CB17D9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Helvetica" w:hAnsi="Helvetica"/>
          <w:color w:val="111111"/>
          <w:shd w:val="clear" w:color="auto" w:fill="FFFFFF"/>
        </w:rPr>
        <w:t>La neuralgia del trigémino es un trastorno de dolor crónico que afecta el nervio trigémino, que transmite las sensaciones del rostro al cerebro.</w:t>
      </w:r>
    </w:p>
    <w:p w:rsidR="00CB17D9" w:rsidRDefault="00CB17D9" w:rsidP="00CB17D9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>Etiología</w:t>
      </w:r>
    </w:p>
    <w:p w:rsidR="00CB17D9" w:rsidRDefault="00CB17D9" w:rsidP="00CB17D9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222222"/>
          <w:shd w:val="clear" w:color="auto" w:fill="FFFFFF"/>
        </w:rPr>
        <w:t>Esclerosis múltiple (EM) u otras enfermedades que dañan la cubierta protectora de mielina de los nervios. Presión sobre el nervio </w:t>
      </w:r>
      <w:r w:rsidRPr="00CB17D9">
        <w:rPr>
          <w:rFonts w:ascii="Arial" w:hAnsi="Arial" w:cs="Arial"/>
          <w:bCs/>
          <w:color w:val="222222"/>
          <w:shd w:val="clear" w:color="auto" w:fill="FFFFFF"/>
        </w:rPr>
        <w:t>trigémino</w:t>
      </w:r>
      <w:r>
        <w:rPr>
          <w:rFonts w:ascii="Arial" w:hAnsi="Arial" w:cs="Arial"/>
          <w:color w:val="222222"/>
          <w:shd w:val="clear" w:color="auto" w:fill="FFFFFF"/>
        </w:rPr>
        <w:t> a causa de un tumor o un vaso sanguíneo hinchado</w:t>
      </w:r>
    </w:p>
    <w:p w:rsidR="00CB17D9" w:rsidRDefault="00CB17D9" w:rsidP="00CB17D9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 xml:space="preserve">Factores de riesgo </w:t>
      </w:r>
    </w:p>
    <w:p w:rsidR="00CB17D9" w:rsidRDefault="00CB17D9" w:rsidP="00474EE1">
      <w:pPr>
        <w:shd w:val="clear" w:color="auto" w:fill="FFFFFF" w:themeFill="background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>Edad- en mujeres de &gt;50 años</w:t>
      </w:r>
    </w:p>
    <w:p w:rsidR="00CB17D9" w:rsidRDefault="00CB17D9" w:rsidP="00CB17D9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 xml:space="preserve">Fisiopatología </w:t>
      </w:r>
    </w:p>
    <w:p w:rsidR="00474EE1" w:rsidRPr="00474EE1" w:rsidRDefault="00474EE1" w:rsidP="00474EE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474EE1">
        <w:rPr>
          <w:rFonts w:ascii="Arial" w:hAnsi="Arial" w:cs="Arial"/>
          <w:color w:val="000000" w:themeColor="text1"/>
          <w:shd w:val="clear" w:color="auto" w:fill="FFFFFF"/>
        </w:rPr>
        <w:t>Neuralgia facial esencial o idiopática del trigémino</w:t>
      </w:r>
      <w:r w:rsidRPr="00474EE1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474EE1">
        <w:rPr>
          <w:rFonts w:ascii="Arial" w:hAnsi="Arial" w:cs="Arial"/>
          <w:color w:val="000000" w:themeColor="text1"/>
        </w:rPr>
        <w:t>"Extremo", "Punzante" o "Chocante", que dura entre segundos y minutos.</w:t>
      </w:r>
      <w:r w:rsidRPr="00474EE1">
        <w:rPr>
          <w:rFonts w:ascii="Arial" w:hAnsi="Arial" w:cs="Arial"/>
          <w:color w:val="000000" w:themeColor="text1"/>
        </w:rPr>
        <w:t xml:space="preserve"> 2</w:t>
      </w:r>
      <w:r w:rsidRPr="00474EE1">
        <w:rPr>
          <w:rFonts w:ascii="Arial" w:hAnsi="Arial" w:cs="Arial"/>
          <w:color w:val="000000" w:themeColor="text1"/>
        </w:rPr>
        <w:t xml:space="preserve">- Rápidamente </w:t>
      </w:r>
      <w:proofErr w:type="spellStart"/>
      <w:r w:rsidRPr="00474EE1">
        <w:rPr>
          <w:rFonts w:ascii="Arial" w:hAnsi="Arial" w:cs="Arial"/>
          <w:color w:val="000000" w:themeColor="text1"/>
        </w:rPr>
        <w:t>provocable</w:t>
      </w:r>
      <w:proofErr w:type="spellEnd"/>
      <w:r w:rsidRPr="00474EE1">
        <w:rPr>
          <w:rFonts w:ascii="Arial" w:hAnsi="Arial" w:cs="Arial"/>
          <w:color w:val="000000" w:themeColor="text1"/>
        </w:rPr>
        <w:t xml:space="preserve"> por la estimulación suave sobre las "zonas gatillo".</w:t>
      </w:r>
      <w:r w:rsidRPr="00474EE1">
        <w:rPr>
          <w:rFonts w:ascii="Arial" w:hAnsi="Arial" w:cs="Arial"/>
          <w:color w:val="000000" w:themeColor="text1"/>
        </w:rPr>
        <w:t xml:space="preserve"> </w:t>
      </w:r>
      <w:r w:rsidRPr="00474EE1">
        <w:rPr>
          <w:rFonts w:ascii="Arial" w:hAnsi="Arial" w:cs="Arial"/>
          <w:color w:val="000000" w:themeColor="text1"/>
        </w:rPr>
        <w:t>3- Confinado a la distribución de las ramas del trigémino.</w:t>
      </w:r>
      <w:r w:rsidRPr="00474EE1">
        <w:rPr>
          <w:rFonts w:ascii="Arial" w:hAnsi="Arial" w:cs="Arial"/>
          <w:color w:val="000000" w:themeColor="text1"/>
        </w:rPr>
        <w:t xml:space="preserve"> </w:t>
      </w:r>
      <w:r w:rsidRPr="00474EE1">
        <w:rPr>
          <w:rFonts w:ascii="Arial" w:hAnsi="Arial" w:cs="Arial"/>
          <w:color w:val="000000" w:themeColor="text1"/>
        </w:rPr>
        <w:t>4- Unilateral, que no cruza la línea media en un paroxismo dado.</w:t>
      </w:r>
      <w:r w:rsidRPr="00474EE1">
        <w:rPr>
          <w:rFonts w:ascii="Arial" w:hAnsi="Arial" w:cs="Arial"/>
          <w:color w:val="000000" w:themeColor="text1"/>
        </w:rPr>
        <w:t xml:space="preserve"> </w:t>
      </w:r>
      <w:r w:rsidRPr="00474EE1">
        <w:rPr>
          <w:rFonts w:ascii="Arial" w:hAnsi="Arial" w:cs="Arial"/>
          <w:color w:val="000000" w:themeColor="text1"/>
        </w:rPr>
        <w:t>5- Sin perdida objetiva, sensitiva o motora de la región afectada</w:t>
      </w:r>
    </w:p>
    <w:p w:rsidR="00474EE1" w:rsidRPr="00474EE1" w:rsidRDefault="00474EE1" w:rsidP="00474EE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 w:rsidRPr="00474E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Neuralgia facial secundaria o sintomática del trigémino</w:t>
      </w:r>
    </w:p>
    <w:p w:rsidR="00474EE1" w:rsidRPr="00C12A9B" w:rsidRDefault="00474EE1" w:rsidP="00474EE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La transmisión dolorosa en el territorio oral y maxilofacial se encuentra a cargo del sistema </w:t>
      </w:r>
      <w:proofErr w:type="spellStart"/>
      <w:r w:rsidRPr="00474EE1">
        <w:rPr>
          <w:rFonts w:ascii="Arial" w:hAnsi="Arial" w:cs="Arial"/>
          <w:color w:val="000000" w:themeColor="text1"/>
          <w:sz w:val="24"/>
          <w:szCs w:val="24"/>
        </w:rPr>
        <w:t>trigeminal</w:t>
      </w:r>
      <w:proofErr w:type="spellEnd"/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 donde, a partir de una primera neurona ganglionar, las aferencias </w:t>
      </w:r>
      <w:proofErr w:type="spellStart"/>
      <w:r w:rsidRPr="00474EE1">
        <w:rPr>
          <w:rFonts w:ascii="Arial" w:hAnsi="Arial" w:cs="Arial"/>
          <w:color w:val="000000" w:themeColor="text1"/>
          <w:sz w:val="24"/>
          <w:szCs w:val="24"/>
        </w:rPr>
        <w:t>nociceptivas</w:t>
      </w:r>
      <w:proofErr w:type="spellEnd"/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 se proyectan al núcleo espinal del trigémino. Desde el punto de vista funcional, el núcleo espinal </w:t>
      </w:r>
      <w:proofErr w:type="spellStart"/>
      <w:r w:rsidRPr="00474EE1">
        <w:rPr>
          <w:rFonts w:ascii="Arial" w:hAnsi="Arial" w:cs="Arial"/>
          <w:color w:val="000000" w:themeColor="text1"/>
          <w:sz w:val="24"/>
          <w:szCs w:val="24"/>
        </w:rPr>
        <w:t>trigeminal</w:t>
      </w:r>
      <w:proofErr w:type="spellEnd"/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 está formado por dos unidades: una unidad superior (correspondiente al </w:t>
      </w:r>
      <w:proofErr w:type="spellStart"/>
      <w:r w:rsidRPr="00474EE1">
        <w:rPr>
          <w:rFonts w:ascii="Arial" w:hAnsi="Arial" w:cs="Arial"/>
          <w:color w:val="000000" w:themeColor="text1"/>
          <w:sz w:val="24"/>
          <w:szCs w:val="24"/>
        </w:rPr>
        <w:t>subnúcleo</w:t>
      </w:r>
      <w:proofErr w:type="spellEnd"/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 oral), que al igual que el núcleo sensitivo principal está </w:t>
      </w:r>
      <w:proofErr w:type="gramStart"/>
      <w:r w:rsidRPr="00474EE1">
        <w:rPr>
          <w:rFonts w:ascii="Arial" w:hAnsi="Arial" w:cs="Arial"/>
          <w:color w:val="000000" w:themeColor="text1"/>
          <w:sz w:val="24"/>
          <w:szCs w:val="24"/>
        </w:rPr>
        <w:t>encargada</w:t>
      </w:r>
      <w:proofErr w:type="gramEnd"/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 de la sensibilidad táctil discriminativa y otra unidad caudal o inferior (correspondiente a los </w:t>
      </w:r>
      <w:proofErr w:type="spellStart"/>
      <w:r w:rsidRPr="00474EE1">
        <w:rPr>
          <w:rFonts w:ascii="Arial" w:hAnsi="Arial" w:cs="Arial"/>
          <w:color w:val="000000" w:themeColor="text1"/>
          <w:sz w:val="24"/>
          <w:szCs w:val="24"/>
        </w:rPr>
        <w:t>subnúcleos</w:t>
      </w:r>
      <w:proofErr w:type="spellEnd"/>
      <w:r w:rsidRPr="00474EE1">
        <w:rPr>
          <w:rFonts w:ascii="Arial" w:hAnsi="Arial" w:cs="Arial"/>
          <w:color w:val="000000" w:themeColor="text1"/>
          <w:sz w:val="24"/>
          <w:szCs w:val="24"/>
        </w:rPr>
        <w:t xml:space="preserve"> interpolar y caudal) que se encarga de: 1) </w:t>
      </w:r>
      <w:r w:rsidRPr="00C12A9B">
        <w:rPr>
          <w:rFonts w:ascii="Arial" w:hAnsi="Arial" w:cs="Arial"/>
          <w:color w:val="000000" w:themeColor="text1"/>
          <w:sz w:val="24"/>
          <w:szCs w:val="24"/>
        </w:rPr>
        <w:lastRenderedPageBreak/>
        <w:t>sensibilidad táctil no discriminativa y de presión, 2) sensibilidad térmica y 3) sensibilidad dolorosa del territorio cefálico</w:t>
      </w:r>
    </w:p>
    <w:p w:rsidR="00CB17D9" w:rsidRPr="00C12A9B" w:rsidRDefault="00CB17D9" w:rsidP="00474EE1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 w:rsidRPr="00C12A9B"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 xml:space="preserve">Diagnostico </w:t>
      </w:r>
    </w:p>
    <w:p w:rsidR="00474EE1" w:rsidRPr="00C12A9B" w:rsidRDefault="00474EE1" w:rsidP="00474EE1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 w:rsidRPr="00C12A9B">
        <w:rPr>
          <w:rFonts w:ascii="Arial" w:hAnsi="Arial" w:cs="Arial"/>
          <w:color w:val="000000" w:themeColor="text1"/>
          <w:sz w:val="24"/>
          <w:szCs w:val="24"/>
        </w:rPr>
        <w:t>El diagnóstico se basa en el cuadro clínico: historia clínica con exploración física y neurológica. Sin embargo, existen estudios complementarios como placas simples (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</w:rPr>
        <w:t>Rx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</w:rPr>
        <w:t xml:space="preserve">), potenciales evocados, TAC y RM cerebral, los cuales están enfocados a diferenciar entre una neuralgia esencial o secundaria. La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</w:rPr>
        <w:t>angio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</w:rPr>
        <w:t>-RM es la prueba de elección para observar las compresiones vasculares en la zona del V par en el tronco cerebral.</w:t>
      </w:r>
    </w:p>
    <w:p w:rsidR="00CB17D9" w:rsidRPr="00C12A9B" w:rsidRDefault="00474EE1" w:rsidP="00474EE1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</w:pPr>
      <w:r w:rsidRPr="00C12A9B"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>T</w:t>
      </w:r>
      <w:r w:rsidR="00CB17D9" w:rsidRPr="00C12A9B">
        <w:rPr>
          <w:rFonts w:ascii="Arial" w:hAnsi="Arial" w:cs="Arial"/>
          <w:bCs/>
          <w:color w:val="000000" w:themeColor="text1"/>
          <w:sz w:val="24"/>
          <w:szCs w:val="24"/>
          <w:shd w:val="clear" w:color="auto" w:fill="F9F9F9"/>
        </w:rPr>
        <w:t>ratamiento</w:t>
      </w:r>
    </w:p>
    <w:p w:rsidR="00474EE1" w:rsidRPr="00C12A9B" w:rsidRDefault="00474EE1" w:rsidP="00474EE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Otros medicamentos anticonvulsivos que pueden utilizarse para tratar la </w:t>
      </w:r>
      <w:r w:rsidRPr="00C12A9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neuralgia del trigémino</w:t>
      </w:r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son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oxcarbazepina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Trileptal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lamotrigina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Lamictal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 y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fenitoína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Dilantin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Phenytek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También pueden utilizarse otros medicamentos, como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clonazepam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Klonopin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 y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gabapentina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Neurontin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Gralise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 otros)</w:t>
      </w:r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antipilepticos</w:t>
      </w:r>
      <w:proofErr w:type="spellEnd"/>
      <w:r w:rsidRPr="00C12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474EE1" w:rsidRDefault="00474EE1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Definición 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>Tipo de daño neurológico que puede ocurrir como consecuencia de la diabetes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>Etiología</w:t>
      </w:r>
    </w:p>
    <w:p w:rsidR="00C12A9B" w:rsidRPr="00535E29" w:rsidRDefault="00C12A9B" w:rsidP="00CB17D9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111111"/>
          <w:sz w:val="24"/>
          <w:szCs w:val="24"/>
          <w:shd w:val="clear" w:color="auto" w:fill="FFFFFF"/>
        </w:rPr>
        <w:t>La neuropatía periférica es el tipo más común de neuropatía diabética. Afecta en primer lugar a los pies y las piernas, seguidos de las manos y los brazos. Por lo general, los signos y síntomas de la neuropatía periférica empeoran durante la noche.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111111"/>
          <w:sz w:val="24"/>
          <w:szCs w:val="24"/>
          <w:shd w:val="clear" w:color="auto" w:fill="FFFFFF"/>
        </w:rPr>
        <w:t>El sistema nervioso autónomo controla el corazón, la vejiga, el estómago, los intestinos, los órganos sexuales y los ojos.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>Factor de riesgo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>Poco control del azúcar en la sangre.</w:t>
      </w: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>Historia clínica de diabetes</w:t>
      </w: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>.</w:t>
      </w:r>
      <w:r w:rsidRPr="00535E29">
        <w:rPr>
          <w:rStyle w:val="Prrafodelista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>Enfermedad renal</w:t>
      </w: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 xml:space="preserve">. Tener sobrepeso y </w:t>
      </w: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>Fumar.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Fisiopatología </w:t>
      </w:r>
    </w:p>
    <w:p w:rsidR="00C12A9B" w:rsidRPr="00535E29" w:rsidRDefault="00535E29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sz w:val="24"/>
          <w:szCs w:val="24"/>
        </w:rPr>
        <w:t xml:space="preserve">Con la hiperglicemia, la glucosa que entra al axón y a la célula de </w:t>
      </w:r>
      <w:proofErr w:type="spellStart"/>
      <w:r w:rsidRPr="00535E29">
        <w:rPr>
          <w:rFonts w:ascii="Arial" w:hAnsi="Arial" w:cs="Arial"/>
          <w:sz w:val="24"/>
          <w:szCs w:val="24"/>
        </w:rPr>
        <w:t>Schwann</w:t>
      </w:r>
      <w:proofErr w:type="spellEnd"/>
      <w:r w:rsidRPr="00535E29">
        <w:rPr>
          <w:rFonts w:ascii="Arial" w:hAnsi="Arial" w:cs="Arial"/>
          <w:sz w:val="24"/>
          <w:szCs w:val="24"/>
        </w:rPr>
        <w:t>, bajo la acción de la aldosa-</w:t>
      </w:r>
      <w:proofErr w:type="spellStart"/>
      <w:r w:rsidRPr="00535E29">
        <w:rPr>
          <w:rFonts w:ascii="Arial" w:hAnsi="Arial" w:cs="Arial"/>
          <w:sz w:val="24"/>
          <w:szCs w:val="24"/>
        </w:rPr>
        <w:t>reductasa</w:t>
      </w:r>
      <w:proofErr w:type="spellEnd"/>
      <w:r w:rsidRPr="00535E29">
        <w:rPr>
          <w:rFonts w:ascii="Arial" w:hAnsi="Arial" w:cs="Arial"/>
          <w:sz w:val="24"/>
          <w:szCs w:val="24"/>
        </w:rPr>
        <w:t xml:space="preserve"> se transforma en sorbitol, produciendo </w:t>
      </w:r>
      <w:proofErr w:type="spellStart"/>
      <w:r w:rsidRPr="00535E29">
        <w:rPr>
          <w:rFonts w:ascii="Arial" w:hAnsi="Arial" w:cs="Arial"/>
          <w:sz w:val="24"/>
          <w:szCs w:val="24"/>
        </w:rPr>
        <w:t>hiperosmolaridad</w:t>
      </w:r>
      <w:proofErr w:type="spellEnd"/>
      <w:r w:rsidRPr="00535E29">
        <w:rPr>
          <w:rFonts w:ascii="Arial" w:hAnsi="Arial" w:cs="Arial"/>
          <w:sz w:val="24"/>
          <w:szCs w:val="24"/>
        </w:rPr>
        <w:t xml:space="preserve"> y edema. Además, aumenta el NADP+ en desmedro del NADPH, paralizando la regeneración del glutatión, impidiendo la neutralización de los radicales oxidantes (ROS) y </w:t>
      </w:r>
      <w:proofErr w:type="spellStart"/>
      <w:r w:rsidRPr="00535E29">
        <w:rPr>
          <w:rFonts w:ascii="Arial" w:hAnsi="Arial" w:cs="Arial"/>
          <w:sz w:val="24"/>
          <w:szCs w:val="24"/>
        </w:rPr>
        <w:t>nitrosilantes</w:t>
      </w:r>
      <w:proofErr w:type="spellEnd"/>
      <w:r w:rsidRPr="00535E29">
        <w:rPr>
          <w:rFonts w:ascii="Arial" w:hAnsi="Arial" w:cs="Arial"/>
          <w:sz w:val="24"/>
          <w:szCs w:val="24"/>
        </w:rPr>
        <w:t xml:space="preserve"> (NOS), produciendo daño oxidante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>Diagnostico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Style w:val="Textoennegrita"/>
          <w:rFonts w:ascii="Arial" w:hAnsi="Arial" w:cs="Arial"/>
          <w:b w:val="0"/>
          <w:color w:val="111111"/>
          <w:sz w:val="24"/>
          <w:szCs w:val="24"/>
          <w:shd w:val="clear" w:color="auto" w:fill="FFFFFF"/>
        </w:rPr>
        <w:t xml:space="preserve">Electromiografía (EMG) y exploración física </w:t>
      </w:r>
      <w:bookmarkStart w:id="0" w:name="_GoBack"/>
      <w:bookmarkEnd w:id="0"/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tratamiento </w:t>
      </w:r>
    </w:p>
    <w:p w:rsidR="00C12A9B" w:rsidRPr="00535E29" w:rsidRDefault="00C12A9B" w:rsidP="00CB17D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5E29">
        <w:rPr>
          <w:rFonts w:ascii="Arial" w:hAnsi="Arial" w:cs="Arial"/>
          <w:color w:val="222222"/>
          <w:sz w:val="24"/>
          <w:szCs w:val="24"/>
          <w:shd w:val="clear" w:color="auto" w:fill="FFFFFF"/>
        </w:rPr>
        <w:t>El tratamiento consiste en controlar los niveles de azúcar en la sangre y usar medicamentos para controlar los síntomas.</w:t>
      </w:r>
    </w:p>
    <w:p w:rsidR="00C12A9B" w:rsidRDefault="00C12A9B" w:rsidP="00CB17D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74EE1" w:rsidRPr="00CB17D9" w:rsidRDefault="00474EE1" w:rsidP="00CB17D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17D9" w:rsidRPr="001363B9" w:rsidRDefault="00CB17D9" w:rsidP="00CB17D9">
      <w:pPr>
        <w:jc w:val="center"/>
        <w:rPr>
          <w:rFonts w:ascii="Arial" w:hAnsi="Arial" w:cs="Arial"/>
          <w:sz w:val="24"/>
          <w:szCs w:val="24"/>
        </w:rPr>
      </w:pPr>
    </w:p>
    <w:p w:rsidR="00FD1494" w:rsidRDefault="00FD1494"/>
    <w:sectPr w:rsidR="00FD1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528"/>
    <w:multiLevelType w:val="hybridMultilevel"/>
    <w:tmpl w:val="843A33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A20"/>
    <w:multiLevelType w:val="hybridMultilevel"/>
    <w:tmpl w:val="80E43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437"/>
    <w:multiLevelType w:val="hybridMultilevel"/>
    <w:tmpl w:val="64082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9"/>
    <w:rsid w:val="00474EE1"/>
    <w:rsid w:val="00535E29"/>
    <w:rsid w:val="00C12A9B"/>
    <w:rsid w:val="00CB17D9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2492"/>
  <w15:chartTrackingRefBased/>
  <w15:docId w15:val="{35A80D74-DDB3-4ADC-9F77-F0E7BAF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E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12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B9B8-8077-400B-A833-C8A1E6B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2020-06-20T00:52:00Z</dcterms:created>
  <dcterms:modified xsi:type="dcterms:W3CDTF">2020-06-20T01:24:00Z</dcterms:modified>
</cp:coreProperties>
</file>