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57" w:rsidRPr="001F3B57" w:rsidRDefault="001F3B57" w:rsidP="001F3B57">
      <w:pPr>
        <w:rPr>
          <w:rFonts w:ascii="Arial" w:hAnsi="Arial" w:cs="Arial"/>
        </w:rPr>
      </w:pPr>
      <w:r w:rsidRPr="001F3B57">
        <w:rPr>
          <w:rFonts w:ascii="Arial" w:hAnsi="Arial" w:cs="Arial"/>
        </w:rPr>
        <w:t xml:space="preserve">La enfermedad por coronavirus de 2019,3​ más conocida como COVID-19, covid-19nota 1​ o </w:t>
      </w:r>
      <w:proofErr w:type="spellStart"/>
      <w:r w:rsidRPr="001F3B57">
        <w:rPr>
          <w:rFonts w:ascii="Arial" w:hAnsi="Arial" w:cs="Arial"/>
        </w:rPr>
        <w:t>covid</w:t>
      </w:r>
      <w:proofErr w:type="spellEnd"/>
      <w:r w:rsidRPr="001F3B57">
        <w:rPr>
          <w:rFonts w:ascii="Arial" w:hAnsi="Arial" w:cs="Arial"/>
        </w:rPr>
        <w:t xml:space="preserve">, e incorrectamente llamada neumonía por coronavirus, </w:t>
      </w:r>
      <w:proofErr w:type="spellStart"/>
      <w:r w:rsidRPr="001F3B57">
        <w:rPr>
          <w:rFonts w:ascii="Arial" w:hAnsi="Arial" w:cs="Arial"/>
        </w:rPr>
        <w:t>coronavirusnota</w:t>
      </w:r>
      <w:proofErr w:type="spellEnd"/>
      <w:r w:rsidRPr="001F3B57">
        <w:rPr>
          <w:rFonts w:ascii="Arial" w:hAnsi="Arial" w:cs="Arial"/>
        </w:rPr>
        <w:t xml:space="preserve"> 2​ o corona, es una enfermedad infecciosa causada por el SARS-CoV-2.11​12​</w:t>
      </w:r>
    </w:p>
    <w:p w:rsidR="001F3B57" w:rsidRPr="001F3B57" w:rsidRDefault="001F3B57" w:rsidP="001F3B57">
      <w:pPr>
        <w:rPr>
          <w:rFonts w:ascii="Arial" w:hAnsi="Arial" w:cs="Arial"/>
        </w:rPr>
      </w:pPr>
      <w:sdt>
        <w:sdtPr>
          <w:rPr>
            <w:rFonts w:ascii="Arial" w:hAnsi="Arial" w:cs="Arial"/>
          </w:rPr>
          <w:id w:val="985976717"/>
          <w:citation/>
        </w:sdtPr>
        <w:sdtContent>
          <w:r>
            <w:rPr>
              <w:rFonts w:ascii="Arial" w:hAnsi="Arial" w:cs="Arial"/>
            </w:rPr>
            <w:fldChar w:fldCharType="begin"/>
          </w:r>
          <w:r w:rsidR="00FB4CE6">
            <w:rPr>
              <w:rFonts w:ascii="Arial" w:hAnsi="Arial" w:cs="Arial"/>
            </w:rPr>
            <w:instrText xml:space="preserve">CITATION Mel04 \p 4 \l 2058 </w:instrText>
          </w:r>
          <w:r>
            <w:rPr>
              <w:rFonts w:ascii="Arial" w:hAnsi="Arial" w:cs="Arial"/>
            </w:rPr>
            <w:fldChar w:fldCharType="separate"/>
          </w:r>
          <w:r w:rsidR="00FB4CE6" w:rsidRPr="00FB4CE6">
            <w:rPr>
              <w:rFonts w:ascii="Arial" w:hAnsi="Arial" w:cs="Arial"/>
              <w:noProof/>
            </w:rPr>
            <w:t>(Ruiz, 2004, pág. 4)</w:t>
          </w:r>
          <w:r>
            <w:rPr>
              <w:rFonts w:ascii="Arial" w:hAnsi="Arial" w:cs="Arial"/>
            </w:rPr>
            <w:fldChar w:fldCharType="end"/>
          </w:r>
        </w:sdtContent>
      </w:sdt>
      <w:bookmarkStart w:id="0" w:name="_GoBack"/>
      <w:bookmarkEnd w:id="0"/>
    </w:p>
    <w:p w:rsidR="001F3B57" w:rsidRPr="001F3B57" w:rsidRDefault="001F3B57" w:rsidP="001F3B57">
      <w:pPr>
        <w:rPr>
          <w:rFonts w:ascii="Arial" w:hAnsi="Arial" w:cs="Arial"/>
        </w:rPr>
      </w:pPr>
      <w:r w:rsidRPr="001F3B57">
        <w:rPr>
          <w:rFonts w:ascii="Arial" w:hAnsi="Arial" w:cs="Arial"/>
        </w:rPr>
        <w:t>Produce síntomas que incluyen fiebre, tos</w:t>
      </w:r>
      <w:proofErr w:type="gramStart"/>
      <w:r w:rsidRPr="001F3B57">
        <w:rPr>
          <w:rFonts w:ascii="Arial" w:hAnsi="Arial" w:cs="Arial"/>
        </w:rPr>
        <w:t>,13</w:t>
      </w:r>
      <w:proofErr w:type="gramEnd"/>
      <w:r w:rsidRPr="001F3B57">
        <w:rPr>
          <w:rFonts w:ascii="Arial" w:hAnsi="Arial" w:cs="Arial"/>
        </w:rPr>
        <w:t xml:space="preserve">​ disnea (dificultad respiratoria), mialgia (dolor muscular)14​ y fatiga.15​16​ En casos graves se caracteriza por producir neumonía, síndrome de dificultad respiratoria aguda,17​ sepsis18​ y choque circulatorio. El choque séptico es la forma más común en estos casos, pero los otros tipos también pueden ocurrir. Por ejemplo, un choque obstructivo puede ser el resultado de una embolia pulmonar, complicación también posible.19​ Según la OMS, la infección es mortal entre el 0,5 % y el 1 % de los casos.20​ Se han autorizado varios tratamientos antivirales por la FDA como pueden ser el </w:t>
      </w:r>
      <w:proofErr w:type="spellStart"/>
      <w:r w:rsidRPr="001F3B57">
        <w:rPr>
          <w:rFonts w:ascii="Arial" w:hAnsi="Arial" w:cs="Arial"/>
        </w:rPr>
        <w:t>paxlovid</w:t>
      </w:r>
      <w:proofErr w:type="spellEnd"/>
      <w:r w:rsidRPr="001F3B57">
        <w:rPr>
          <w:rFonts w:ascii="Arial" w:hAnsi="Arial" w:cs="Arial"/>
        </w:rPr>
        <w:t xml:space="preserve">, </w:t>
      </w:r>
      <w:proofErr w:type="spellStart"/>
      <w:r w:rsidRPr="001F3B57">
        <w:rPr>
          <w:rFonts w:ascii="Arial" w:hAnsi="Arial" w:cs="Arial"/>
        </w:rPr>
        <w:t>remdesivir</w:t>
      </w:r>
      <w:proofErr w:type="spellEnd"/>
      <w:r w:rsidRPr="001F3B57">
        <w:rPr>
          <w:rFonts w:ascii="Arial" w:hAnsi="Arial" w:cs="Arial"/>
        </w:rPr>
        <w:t xml:space="preserve"> o </w:t>
      </w:r>
      <w:proofErr w:type="spellStart"/>
      <w:r w:rsidRPr="001F3B57">
        <w:rPr>
          <w:rFonts w:ascii="Arial" w:hAnsi="Arial" w:cs="Arial"/>
        </w:rPr>
        <w:t>molnupiravir</w:t>
      </w:r>
      <w:proofErr w:type="spellEnd"/>
      <w:r w:rsidRPr="001F3B57">
        <w:rPr>
          <w:rFonts w:ascii="Arial" w:hAnsi="Arial" w:cs="Arial"/>
        </w:rPr>
        <w:t xml:space="preserve"> en pacientes con un curso de la enfermedad de leve a moderado, con factores de riesgos en los que se quiera evitar una evolución grave de la enfermedad.21​</w:t>
      </w:r>
    </w:p>
    <w:p w:rsidR="001F3B57" w:rsidRPr="001F3B57" w:rsidRDefault="001F3B57" w:rsidP="001F3B57">
      <w:pPr>
        <w:rPr>
          <w:rFonts w:ascii="Arial" w:hAnsi="Arial" w:cs="Arial"/>
        </w:rPr>
      </w:pPr>
    </w:p>
    <w:p w:rsidR="001F3B57" w:rsidRPr="001F3B57" w:rsidRDefault="001F3B57" w:rsidP="001F3B57">
      <w:pPr>
        <w:rPr>
          <w:rFonts w:ascii="Arial" w:hAnsi="Arial" w:cs="Arial"/>
        </w:rPr>
      </w:pPr>
      <w:r w:rsidRPr="001F3B57">
        <w:rPr>
          <w:rFonts w:ascii="Arial" w:hAnsi="Arial" w:cs="Arial"/>
        </w:rPr>
        <w:t>La transmisión del SARS-CoV-2 se produce mediante pequeñas gotas —</w:t>
      </w:r>
      <w:proofErr w:type="spellStart"/>
      <w:r w:rsidRPr="001F3B57">
        <w:rPr>
          <w:rFonts w:ascii="Arial" w:hAnsi="Arial" w:cs="Arial"/>
        </w:rPr>
        <w:t>microgotas</w:t>
      </w:r>
      <w:proofErr w:type="spellEnd"/>
      <w:r w:rsidRPr="001F3B57">
        <w:rPr>
          <w:rFonts w:ascii="Arial" w:hAnsi="Arial" w:cs="Arial"/>
        </w:rPr>
        <w:t xml:space="preserve"> de Flügge22​— que se emiten al hablar, estornudar, toser o espirar, que al ser despedidas por un portador (que puede no tener síntomas de la enfermedad o estar incubándola)23​ pasan directamente a otra persona mediante la inhalación, o quedan sobre los objetos y superficies que rodean al emisor, y luego, a través de las manos, que lo recogen del ambiente contaminado, toman contacto con las membranas mucosas orales, nasales y oculares, al tocarse la boca, la nariz o los ojos.24​25​ También está documentada la transmisión por aerosoles ( &lt; 5</w:t>
      </w:r>
      <w:r w:rsidRPr="001F3B57">
        <w:rPr>
          <w:rFonts w:ascii="Arial" w:hAnsi="Arial" w:cs="Arial" w:hint="eastAsia"/>
        </w:rPr>
        <w:t>μ</w:t>
      </w:r>
      <w:r w:rsidRPr="001F3B57">
        <w:rPr>
          <w:rFonts w:ascii="Arial" w:hAnsi="Arial" w:cs="Arial"/>
        </w:rPr>
        <w:t xml:space="preserve">m).26​27​ La propagación mediante superficies contaminadas o fómites (cualquier objeto carente de vida, o sustancia, que si se contamina con </w:t>
      </w:r>
      <w:r w:rsidRPr="001F3B57">
        <w:rPr>
          <w:rFonts w:ascii="Arial" w:hAnsi="Arial" w:cs="Arial"/>
        </w:rPr>
        <w:lastRenderedPageBreak/>
        <w:t>algún patógeno es capaz de transferirlo de un individuo a otro) no contribuye sustancialmente a nuevas infecciones.28​</w:t>
      </w:r>
      <w:r>
        <w:rPr>
          <w:rFonts w:ascii="Arial" w:hAnsi="Arial" w:cs="Arial"/>
        </w:rPr>
        <w:t xml:space="preserve"> </w:t>
      </w:r>
      <w:sdt>
        <w:sdtPr>
          <w:rPr>
            <w:rFonts w:ascii="Arial" w:hAnsi="Arial" w:cs="Arial"/>
          </w:rPr>
          <w:id w:val="528300917"/>
          <w:citation/>
        </w:sdtPr>
        <w:sdtContent>
          <w:r>
            <w:rPr>
              <w:rFonts w:ascii="Arial" w:hAnsi="Arial" w:cs="Arial"/>
            </w:rPr>
            <w:fldChar w:fldCharType="begin"/>
          </w:r>
          <w:r>
            <w:rPr>
              <w:rFonts w:ascii="Arial" w:hAnsi="Arial" w:cs="Arial"/>
            </w:rPr>
            <w:instrText xml:space="preserve"> CITATION Gil23 \l 2058 </w:instrText>
          </w:r>
          <w:r>
            <w:rPr>
              <w:rFonts w:ascii="Arial" w:hAnsi="Arial" w:cs="Arial"/>
            </w:rPr>
            <w:fldChar w:fldCharType="separate"/>
          </w:r>
          <w:r w:rsidRPr="001F3B57">
            <w:rPr>
              <w:rFonts w:ascii="Arial" w:hAnsi="Arial" w:cs="Arial"/>
              <w:noProof/>
            </w:rPr>
            <w:t>(Gil, 2023)</w:t>
          </w:r>
          <w:r>
            <w:rPr>
              <w:rFonts w:ascii="Arial" w:hAnsi="Arial" w:cs="Arial"/>
            </w:rPr>
            <w:fldChar w:fldCharType="end"/>
          </w:r>
        </w:sdtContent>
      </w:sdt>
    </w:p>
    <w:p w:rsidR="001F3B57" w:rsidRPr="001F3B57" w:rsidRDefault="001F3B57" w:rsidP="001F3B57">
      <w:pPr>
        <w:rPr>
          <w:rFonts w:ascii="Arial" w:hAnsi="Arial" w:cs="Arial"/>
        </w:rPr>
      </w:pPr>
    </w:p>
    <w:p w:rsidR="00DC20DE" w:rsidRDefault="001F3B57" w:rsidP="001F3B57">
      <w:pPr>
        <w:rPr>
          <w:rFonts w:ascii="Arial" w:hAnsi="Arial" w:cs="Arial"/>
        </w:rPr>
      </w:pPr>
      <w:r w:rsidRPr="001F3B57">
        <w:rPr>
          <w:rFonts w:ascii="Arial" w:hAnsi="Arial" w:cs="Arial"/>
        </w:rPr>
        <w:t>Los síntomas aparecen entre dos y catorce días (período de incubación), con un promedio de cinco días, después de la exposición al virus.29​30​31​32​ Existe evidencia limitada que sugiere que el virus podría transmitirse uno o dos días antes de que se tengan síntomas, ya que la viremia alcanza un pico al final del período de incubación.33​34​El contagio se puede prevenir con el lavado de manos frecuente, o en su defecto la desinfección de las mismas con alcohol en gel, cubriendo la boca al toser o estornudar, ya sea con la sangradura (parte hundida del brazo opuesta al codo) o con un pañuelo y evitando el contacto cercano con otras personas,24​ entre otras medidas profilácticas, como el uso de mascarillas. La OMS desaconsejaba en marzo la utilización de máscara quirúrgica por la población sana,35​36​ en abril la OMS consideró que era una medida aceptable en algunos países.37​No obstante, ciertos expertos recomiendan el uso de máscaras quirúrgicas basados en estudios sobre la Influenza H1N1, donde muestran que podrían ayudar a reducir la exposición al virus.3</w:t>
      </w:r>
      <w:r w:rsidR="00FB4CE6">
        <w:rPr>
          <w:rFonts w:ascii="Arial" w:hAnsi="Arial" w:cs="Arial"/>
        </w:rPr>
        <w:t xml:space="preserve"> </w:t>
      </w:r>
    </w:p>
    <w:p w:rsidR="00FB4CE6" w:rsidRDefault="00FB4CE6" w:rsidP="001F3B57">
      <w:pPr>
        <w:rPr>
          <w:rFonts w:ascii="Arial" w:hAnsi="Arial" w:cs="Arial"/>
        </w:rPr>
      </w:pPr>
    </w:p>
    <w:p w:rsidR="00FB4CE6" w:rsidRDefault="00FB4CE6" w:rsidP="001F3B57">
      <w:pPr>
        <w:rPr>
          <w:rFonts w:ascii="Arial" w:hAnsi="Arial" w:cs="Arial"/>
        </w:rPr>
      </w:pPr>
    </w:p>
    <w:p w:rsidR="00FB4CE6" w:rsidRDefault="00FB4CE6" w:rsidP="001F3B57">
      <w:pPr>
        <w:rPr>
          <w:rFonts w:ascii="Arial" w:hAnsi="Arial" w:cs="Arial"/>
        </w:rPr>
      </w:pPr>
    </w:p>
    <w:p w:rsidR="00FB4CE6" w:rsidRDefault="00FB4CE6" w:rsidP="001F3B57">
      <w:pPr>
        <w:rPr>
          <w:rFonts w:ascii="Arial" w:hAnsi="Arial" w:cs="Arial"/>
        </w:rPr>
      </w:pPr>
    </w:p>
    <w:p w:rsidR="00FB4CE6" w:rsidRDefault="00FB4CE6" w:rsidP="001F3B57">
      <w:pPr>
        <w:rPr>
          <w:rFonts w:ascii="Arial" w:hAnsi="Arial" w:cs="Arial"/>
        </w:rPr>
      </w:pPr>
    </w:p>
    <w:p w:rsidR="00FB4CE6" w:rsidRDefault="00FB4CE6" w:rsidP="001F3B57">
      <w:pPr>
        <w:rPr>
          <w:rFonts w:ascii="Arial" w:hAnsi="Arial" w:cs="Arial"/>
        </w:rPr>
      </w:pPr>
    </w:p>
    <w:p w:rsidR="00FB4CE6" w:rsidRDefault="00FB4CE6" w:rsidP="001F3B57">
      <w:pPr>
        <w:rPr>
          <w:rFonts w:ascii="Arial" w:hAnsi="Arial" w:cs="Arial"/>
        </w:rPr>
      </w:pPr>
    </w:p>
    <w:p w:rsidR="00FB4CE6" w:rsidRDefault="00FB4CE6" w:rsidP="001F3B57">
      <w:pPr>
        <w:rPr>
          <w:rFonts w:ascii="Arial" w:hAnsi="Arial" w:cs="Arial"/>
        </w:rPr>
      </w:pPr>
    </w:p>
    <w:sdt>
      <w:sdtPr>
        <w:rPr>
          <w:lang w:val="es-ES"/>
        </w:rPr>
        <w:id w:val="1565064451"/>
        <w:docPartObj>
          <w:docPartGallery w:val="Bibliographies"/>
          <w:docPartUnique/>
        </w:docPartObj>
      </w:sdtPr>
      <w:sdtEndPr>
        <w:rPr>
          <w:rFonts w:ascii="Gill Sans MT" w:eastAsiaTheme="minorHAnsi" w:hAnsi="Gill Sans MT" w:cstheme="minorBidi"/>
          <w:b w:val="0"/>
          <w:bCs w:val="0"/>
          <w:color w:val="auto"/>
          <w:sz w:val="24"/>
          <w:szCs w:val="22"/>
          <w:lang w:val="es-MX" w:eastAsia="en-US"/>
        </w:rPr>
      </w:sdtEndPr>
      <w:sdtContent>
        <w:p w:rsidR="00FB4CE6" w:rsidRDefault="00FB4CE6">
          <w:pPr>
            <w:pStyle w:val="Ttulo1"/>
          </w:pPr>
          <w:r>
            <w:rPr>
              <w:lang w:val="es-ES"/>
            </w:rPr>
            <w:t>Bibliografía</w:t>
          </w:r>
        </w:p>
        <w:sdt>
          <w:sdtPr>
            <w:id w:val="111145805"/>
            <w:bibliography/>
          </w:sdtPr>
          <w:sdtContent>
            <w:p w:rsidR="00FB4CE6" w:rsidRDefault="00FB4CE6" w:rsidP="00FB4CE6">
              <w:pPr>
                <w:rPr>
                  <w:noProof/>
                  <w:lang w:val="es-ES"/>
                </w:rPr>
              </w:pPr>
              <w:r>
                <w:fldChar w:fldCharType="begin"/>
              </w:r>
              <w:r>
                <w:instrText>BIBLIOGRAPHY</w:instrText>
              </w:r>
              <w:r>
                <w:fldChar w:fldCharType="separate"/>
              </w:r>
              <w:r>
                <w:rPr>
                  <w:noProof/>
                  <w:lang w:val="es-ES"/>
                </w:rPr>
                <w:t xml:space="preserve">Gil, F. (30 de Febrero de 2023). Rompeme en caso de emergencia. (P. Putes, Ed.) </w:t>
              </w:r>
              <w:r>
                <w:rPr>
                  <w:i/>
                  <w:iCs/>
                  <w:noProof/>
                  <w:lang w:val="es-ES"/>
                </w:rPr>
                <w:t>Las chulis, 15</w:t>
              </w:r>
              <w:r>
                <w:rPr>
                  <w:noProof/>
                  <w:lang w:val="es-ES"/>
                </w:rPr>
                <w:t>(5548699061), 20.</w:t>
              </w:r>
            </w:p>
            <w:p w:rsidR="00FB4CE6" w:rsidRDefault="00FB4CE6" w:rsidP="00FB4CE6">
              <w:pPr>
                <w:pStyle w:val="Bibliografa"/>
                <w:ind w:left="720" w:hanging="720"/>
                <w:rPr>
                  <w:noProof/>
                  <w:lang w:val="es-ES"/>
                </w:rPr>
              </w:pPr>
              <w:r>
                <w:rPr>
                  <w:noProof/>
                  <w:lang w:val="es-ES"/>
                </w:rPr>
                <w:t xml:space="preserve">Ruiz, M. (2004). </w:t>
              </w:r>
              <w:r>
                <w:rPr>
                  <w:i/>
                  <w:iCs/>
                  <w:noProof/>
                  <w:lang w:val="es-ES"/>
                </w:rPr>
                <w:t>Aquella orilla nuestra .</w:t>
              </w:r>
              <w:r>
                <w:rPr>
                  <w:noProof/>
                  <w:lang w:val="es-ES"/>
                </w:rPr>
                <w:t xml:space="preserve"> Miami Florida: Las putes.</w:t>
              </w:r>
            </w:p>
            <w:p w:rsidR="00FB4CE6" w:rsidRDefault="00FB4CE6" w:rsidP="00FB4CE6">
              <w:r>
                <w:rPr>
                  <w:b/>
                  <w:bCs/>
                </w:rPr>
                <w:fldChar w:fldCharType="end"/>
              </w:r>
            </w:p>
          </w:sdtContent>
        </w:sdt>
      </w:sdtContent>
    </w:sdt>
    <w:p w:rsidR="00FB4CE6" w:rsidRDefault="00FB4CE6" w:rsidP="001F3B57">
      <w:pPr>
        <w:rPr>
          <w:rFonts w:ascii="Arial" w:hAnsi="Arial" w:cs="Arial"/>
        </w:rPr>
      </w:pPr>
    </w:p>
    <w:p w:rsidR="00FB4CE6" w:rsidRPr="001F3B57" w:rsidRDefault="00FB4CE6" w:rsidP="001F3B57">
      <w:pPr>
        <w:rPr>
          <w:rFonts w:ascii="Arial" w:hAnsi="Arial" w:cs="Arial"/>
        </w:rPr>
      </w:pPr>
    </w:p>
    <w:sectPr w:rsidR="00FB4CE6" w:rsidRPr="001F3B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57"/>
    <w:rsid w:val="001F3B57"/>
    <w:rsid w:val="00DC20DE"/>
    <w:rsid w:val="00FB4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elissa y fabiola"/>
    <w:qFormat/>
    <w:rsid w:val="001F3B57"/>
    <w:pPr>
      <w:spacing w:before="120" w:after="240" w:line="360" w:lineRule="auto"/>
      <w:ind w:firstLine="851"/>
      <w:jc w:val="both"/>
    </w:pPr>
    <w:rPr>
      <w:rFonts w:ascii="Gill Sans MT" w:hAnsi="Gill Sans MT"/>
      <w:sz w:val="24"/>
    </w:rPr>
  </w:style>
  <w:style w:type="paragraph" w:styleId="Ttulo1">
    <w:name w:val="heading 1"/>
    <w:basedOn w:val="Normal"/>
    <w:next w:val="Normal"/>
    <w:link w:val="Ttulo1Car"/>
    <w:uiPriority w:val="9"/>
    <w:qFormat/>
    <w:rsid w:val="00FB4CE6"/>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3B57"/>
    <w:pPr>
      <w:spacing w:before="100" w:beforeAutospacing="1" w:after="100" w:afterAutospacing="1" w:line="240" w:lineRule="auto"/>
    </w:pPr>
    <w:rPr>
      <w:rFonts w:ascii="Times New Roman" w:eastAsia="Times New Roman" w:hAnsi="Times New Roman" w:cs="Times New Roman"/>
      <w:szCs w:val="24"/>
      <w:lang w:eastAsia="es-MX"/>
    </w:rPr>
  </w:style>
  <w:style w:type="character" w:styleId="Hipervnculo">
    <w:name w:val="Hyperlink"/>
    <w:basedOn w:val="Fuentedeprrafopredeter"/>
    <w:uiPriority w:val="99"/>
    <w:semiHidden/>
    <w:unhideWhenUsed/>
    <w:rsid w:val="001F3B57"/>
    <w:rPr>
      <w:color w:val="0000FF"/>
      <w:u w:val="single"/>
    </w:rPr>
  </w:style>
  <w:style w:type="paragraph" w:styleId="Textodeglobo">
    <w:name w:val="Balloon Text"/>
    <w:basedOn w:val="Normal"/>
    <w:link w:val="TextodegloboCar"/>
    <w:uiPriority w:val="99"/>
    <w:semiHidden/>
    <w:unhideWhenUsed/>
    <w:rsid w:val="001F3B57"/>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B57"/>
    <w:rPr>
      <w:rFonts w:ascii="Tahoma" w:hAnsi="Tahoma" w:cs="Tahoma"/>
      <w:sz w:val="16"/>
      <w:szCs w:val="16"/>
    </w:rPr>
  </w:style>
  <w:style w:type="character" w:customStyle="1" w:styleId="Ttulo1Car">
    <w:name w:val="Título 1 Car"/>
    <w:basedOn w:val="Fuentedeprrafopredeter"/>
    <w:link w:val="Ttulo1"/>
    <w:uiPriority w:val="9"/>
    <w:rsid w:val="00FB4CE6"/>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FB4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elissa y fabiola"/>
    <w:qFormat/>
    <w:rsid w:val="001F3B57"/>
    <w:pPr>
      <w:spacing w:before="120" w:after="240" w:line="360" w:lineRule="auto"/>
      <w:ind w:firstLine="851"/>
      <w:jc w:val="both"/>
    </w:pPr>
    <w:rPr>
      <w:rFonts w:ascii="Gill Sans MT" w:hAnsi="Gill Sans MT"/>
      <w:sz w:val="24"/>
    </w:rPr>
  </w:style>
  <w:style w:type="paragraph" w:styleId="Ttulo1">
    <w:name w:val="heading 1"/>
    <w:basedOn w:val="Normal"/>
    <w:next w:val="Normal"/>
    <w:link w:val="Ttulo1Car"/>
    <w:uiPriority w:val="9"/>
    <w:qFormat/>
    <w:rsid w:val="00FB4CE6"/>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3B57"/>
    <w:pPr>
      <w:spacing w:before="100" w:beforeAutospacing="1" w:after="100" w:afterAutospacing="1" w:line="240" w:lineRule="auto"/>
    </w:pPr>
    <w:rPr>
      <w:rFonts w:ascii="Times New Roman" w:eastAsia="Times New Roman" w:hAnsi="Times New Roman" w:cs="Times New Roman"/>
      <w:szCs w:val="24"/>
      <w:lang w:eastAsia="es-MX"/>
    </w:rPr>
  </w:style>
  <w:style w:type="character" w:styleId="Hipervnculo">
    <w:name w:val="Hyperlink"/>
    <w:basedOn w:val="Fuentedeprrafopredeter"/>
    <w:uiPriority w:val="99"/>
    <w:semiHidden/>
    <w:unhideWhenUsed/>
    <w:rsid w:val="001F3B57"/>
    <w:rPr>
      <w:color w:val="0000FF"/>
      <w:u w:val="single"/>
    </w:rPr>
  </w:style>
  <w:style w:type="paragraph" w:styleId="Textodeglobo">
    <w:name w:val="Balloon Text"/>
    <w:basedOn w:val="Normal"/>
    <w:link w:val="TextodegloboCar"/>
    <w:uiPriority w:val="99"/>
    <w:semiHidden/>
    <w:unhideWhenUsed/>
    <w:rsid w:val="001F3B57"/>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B57"/>
    <w:rPr>
      <w:rFonts w:ascii="Tahoma" w:hAnsi="Tahoma" w:cs="Tahoma"/>
      <w:sz w:val="16"/>
      <w:szCs w:val="16"/>
    </w:rPr>
  </w:style>
  <w:style w:type="character" w:customStyle="1" w:styleId="Ttulo1Car">
    <w:name w:val="Título 1 Car"/>
    <w:basedOn w:val="Fuentedeprrafopredeter"/>
    <w:link w:val="Ttulo1"/>
    <w:uiPriority w:val="9"/>
    <w:rsid w:val="00FB4CE6"/>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FB4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Mel04</b:Tag>
    <b:SourceType>Book</b:SourceType>
    <b:Guid>{020512CF-D5F9-4007-B934-2E5C4341C35C}</b:Guid>
    <b:Author>
      <b:Author>
        <b:NameList>
          <b:Person>
            <b:Last>Ruiz</b:Last>
            <b:First>Melissa</b:First>
          </b:Person>
        </b:NameList>
      </b:Author>
    </b:Author>
    <b:Title>Aquella orilla nuestra </b:Title>
    <b:Year>2004</b:Year>
    <b:City>Miami Florida</b:City>
    <b:Publisher>Las putes</b:Publisher>
    <b:RefOrder>1</b:RefOrder>
  </b:Source>
  <b:Source>
    <b:Tag>Gil23</b:Tag>
    <b:SourceType>JournalArticle</b:SourceType>
    <b:Guid>{1B10DAA0-F671-47C2-AAD5-AAA5FDDC074A}</b:Guid>
    <b:Author>
      <b:Author>
        <b:NameList>
          <b:Person>
            <b:Last>Gil</b:Last>
            <b:First>Fabiola</b:First>
          </b:Person>
        </b:NameList>
      </b:Author>
      <b:Editor>
        <b:NameList>
          <b:Person>
            <b:Last>Putes</b:Last>
            <b:First>Putes</b:First>
          </b:Person>
        </b:NameList>
      </b:Editor>
    </b:Author>
    <b:Title>Rompeme en caso de emergencia</b:Title>
    <b:Year>2023</b:Year>
    <b:City>New York city </b:City>
    <b:Publisher>Zorres </b:Publisher>
    <b:Pages>20</b:Pages>
    <b:JournalName>Las chulis</b:JournalName>
    <b:Month>Febrero </b:Month>
    <b:Day>30</b:Day>
    <b:Volume>15</b:Volume>
    <b:Issue>5548699061</b:Issue>
    <b:ShortTitle>Chuli </b:ShortTitle>
    <b:StandardNumber>30</b:StandardNumber>
    <b:Comments>Revista de apoyo emocional </b:Comments>
    <b:RefOrder>2</b:RefOrder>
  </b:Source>
</b:Sources>
</file>

<file path=customXml/itemProps1.xml><?xml version="1.0" encoding="utf-8"?>
<ds:datastoreItem xmlns:ds="http://schemas.openxmlformats.org/officeDocument/2006/customXml" ds:itemID="{8FFAA4D5-73A2-4898-98BD-F2B9D5BE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513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COMPUTO</dc:creator>
  <cp:lastModifiedBy>COMPUTO</cp:lastModifiedBy>
  <cp:revision>1</cp:revision>
  <dcterms:created xsi:type="dcterms:W3CDTF">2023-01-27T17:45:00Z</dcterms:created>
  <dcterms:modified xsi:type="dcterms:W3CDTF">2023-01-27T18:06:00Z</dcterms:modified>
</cp:coreProperties>
</file>