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780" w:rsidRDefault="00924780" w:rsidP="00924780">
      <w:pPr>
        <w:jc w:val="both"/>
        <w:rPr>
          <w:rFonts w:ascii="Arial" w:hAnsi="Arial" w:cs="Arial"/>
          <w:b/>
          <w:sz w:val="28"/>
        </w:rPr>
      </w:pPr>
      <w:r w:rsidRPr="00924780">
        <w:rPr>
          <w:rFonts w:ascii="Arial" w:hAnsi="Arial" w:cs="Arial"/>
          <w:b/>
          <w:sz w:val="28"/>
        </w:rPr>
        <w:t>La economía actual y la posición de México en ella.</w:t>
      </w:r>
    </w:p>
    <w:p w:rsidR="00924780" w:rsidRPr="00924780" w:rsidRDefault="00924780" w:rsidP="00924780">
      <w:pPr>
        <w:jc w:val="both"/>
        <w:rPr>
          <w:rFonts w:ascii="Arial" w:hAnsi="Arial" w:cs="Arial"/>
          <w:b/>
          <w:sz w:val="28"/>
        </w:rPr>
      </w:pPr>
      <w:bookmarkStart w:id="0" w:name="_GoBack"/>
      <w:bookmarkEnd w:id="0"/>
    </w:p>
    <w:p w:rsidR="006958BB" w:rsidRPr="00924780" w:rsidRDefault="006958BB" w:rsidP="00924780">
      <w:pPr>
        <w:jc w:val="both"/>
        <w:rPr>
          <w:rFonts w:ascii="Arial" w:hAnsi="Arial" w:cs="Arial"/>
          <w:sz w:val="24"/>
        </w:rPr>
      </w:pPr>
      <w:r w:rsidRPr="00924780">
        <w:rPr>
          <w:rFonts w:ascii="Arial" w:hAnsi="Arial" w:cs="Arial"/>
          <w:sz w:val="24"/>
        </w:rPr>
        <w:t>L</w:t>
      </w:r>
      <w:r w:rsidRPr="00924780">
        <w:rPr>
          <w:rFonts w:ascii="Arial" w:hAnsi="Arial" w:cs="Arial"/>
          <w:sz w:val="24"/>
        </w:rPr>
        <w:t>a economía entraña una serie de fenómenos complejos, interconectados y no siempre fáciles de medir. Así, no hay un solo medio a partir del cual conocer cuáles son las economías más fuertes a escala global, pero es posible recurrir a criterios bien establecidos para deducirlo y a fuentes más o menos fidedignas para saberlo.</w:t>
      </w:r>
    </w:p>
    <w:p w:rsidR="006958BB" w:rsidRPr="00924780" w:rsidRDefault="006958BB" w:rsidP="00924780">
      <w:pPr>
        <w:jc w:val="both"/>
        <w:rPr>
          <w:rFonts w:ascii="Arial" w:hAnsi="Arial" w:cs="Arial"/>
          <w:sz w:val="24"/>
        </w:rPr>
      </w:pPr>
    </w:p>
    <w:p w:rsidR="006958BB" w:rsidRPr="00924780" w:rsidRDefault="006958BB" w:rsidP="00924780">
      <w:pPr>
        <w:jc w:val="both"/>
        <w:rPr>
          <w:rFonts w:ascii="Arial" w:hAnsi="Arial" w:cs="Arial"/>
          <w:sz w:val="24"/>
        </w:rPr>
      </w:pPr>
      <w:r w:rsidRPr="00924780">
        <w:rPr>
          <w:rFonts w:ascii="Arial" w:hAnsi="Arial" w:cs="Arial"/>
          <w:sz w:val="24"/>
        </w:rPr>
        <w:t xml:space="preserve">Aquí exponemos la cuestión de acuerdo con el informe </w:t>
      </w:r>
      <w:proofErr w:type="spellStart"/>
      <w:r w:rsidRPr="00924780">
        <w:rPr>
          <w:rFonts w:ascii="Arial" w:hAnsi="Arial" w:cs="Arial"/>
          <w:sz w:val="24"/>
        </w:rPr>
        <w:t>World</w:t>
      </w:r>
      <w:proofErr w:type="spellEnd"/>
      <w:r w:rsidRPr="00924780">
        <w:rPr>
          <w:rFonts w:ascii="Arial" w:hAnsi="Arial" w:cs="Arial"/>
          <w:sz w:val="24"/>
        </w:rPr>
        <w:t xml:space="preserve"> </w:t>
      </w:r>
      <w:proofErr w:type="spellStart"/>
      <w:r w:rsidRPr="00924780">
        <w:rPr>
          <w:rFonts w:ascii="Arial" w:hAnsi="Arial" w:cs="Arial"/>
          <w:sz w:val="24"/>
        </w:rPr>
        <w:t>Economic</w:t>
      </w:r>
      <w:proofErr w:type="spellEnd"/>
      <w:r w:rsidRPr="00924780">
        <w:rPr>
          <w:rFonts w:ascii="Arial" w:hAnsi="Arial" w:cs="Arial"/>
          <w:sz w:val="24"/>
        </w:rPr>
        <w:t xml:space="preserve"> Outlook (o Perspectivas de la Economía Mundial) realizado de manera anual por el Fondo Monetario Internacional. Los datos mostrados abarcan la medición de varios indicadores económicos por país tales como el Producto Interno Bruto (PIB), el crecimiento del PIB, el Índice de precios al consumidor, la tasa de desempleo, la deuda y otros.</w:t>
      </w:r>
    </w:p>
    <w:p w:rsidR="006958BB" w:rsidRPr="00924780" w:rsidRDefault="006958BB" w:rsidP="00924780">
      <w:pPr>
        <w:jc w:val="both"/>
        <w:rPr>
          <w:rFonts w:ascii="Arial" w:hAnsi="Arial" w:cs="Arial"/>
          <w:sz w:val="24"/>
        </w:rPr>
      </w:pPr>
    </w:p>
    <w:p w:rsidR="006958BB" w:rsidRPr="00924780" w:rsidRDefault="006958BB" w:rsidP="00924780">
      <w:pPr>
        <w:jc w:val="both"/>
        <w:rPr>
          <w:rFonts w:ascii="Arial" w:hAnsi="Arial" w:cs="Arial"/>
          <w:sz w:val="24"/>
        </w:rPr>
      </w:pPr>
      <w:r w:rsidRPr="00924780">
        <w:rPr>
          <w:rFonts w:ascii="Arial" w:hAnsi="Arial" w:cs="Arial"/>
          <w:sz w:val="24"/>
        </w:rPr>
        <w:t>Esta lista de las 20 economías más grandes del mundo en el 2023 se basa exclusivamente en su nivel de PIB según el más reciente informe del FMI (abril del 2023), de mayor a menor.</w:t>
      </w:r>
    </w:p>
    <w:p w:rsidR="006958BB" w:rsidRPr="00924780" w:rsidRDefault="006958BB" w:rsidP="00924780">
      <w:pPr>
        <w:jc w:val="both"/>
        <w:rPr>
          <w:rFonts w:ascii="Arial" w:hAnsi="Arial" w:cs="Arial"/>
          <w:sz w:val="24"/>
        </w:rPr>
      </w:pPr>
      <w:r w:rsidRPr="00924780">
        <w:rPr>
          <w:rFonts w:ascii="Arial" w:hAnsi="Arial" w:cs="Arial"/>
          <w:sz w:val="24"/>
        </w:rPr>
        <w:t>Las 20 economías más grandes del mundo en 2023</w:t>
      </w:r>
    </w:p>
    <w:p w:rsidR="006958BB" w:rsidRPr="00924780" w:rsidRDefault="006958BB" w:rsidP="00924780">
      <w:pPr>
        <w:jc w:val="both"/>
        <w:rPr>
          <w:rFonts w:ascii="Arial" w:hAnsi="Arial" w:cs="Arial"/>
          <w:sz w:val="24"/>
        </w:rPr>
      </w:pPr>
      <w:r w:rsidRPr="00924780">
        <w:rPr>
          <w:rFonts w:ascii="Arial" w:hAnsi="Arial" w:cs="Arial"/>
          <w:sz w:val="24"/>
        </w:rPr>
        <w:t>La lista está encabezada por Estados Unidos desde que comenzó a publicarse esta información hace más de cuarenta años, y a partir del 2010 China ha aparecido en segundo lugar de la lista hasta la fecha.</w:t>
      </w:r>
    </w:p>
    <w:p w:rsidR="006958BB" w:rsidRPr="00924780" w:rsidRDefault="006958BB" w:rsidP="00924780">
      <w:pPr>
        <w:jc w:val="both"/>
        <w:rPr>
          <w:rFonts w:ascii="Arial" w:hAnsi="Arial" w:cs="Arial"/>
          <w:sz w:val="24"/>
        </w:rPr>
      </w:pPr>
    </w:p>
    <w:p w:rsidR="006958BB" w:rsidRPr="00924780" w:rsidRDefault="006958BB" w:rsidP="00924780">
      <w:pPr>
        <w:jc w:val="both"/>
        <w:rPr>
          <w:rFonts w:ascii="Arial" w:hAnsi="Arial" w:cs="Arial"/>
          <w:sz w:val="24"/>
        </w:rPr>
      </w:pPr>
      <w:r w:rsidRPr="00924780">
        <w:rPr>
          <w:rFonts w:ascii="Arial" w:hAnsi="Arial" w:cs="Arial"/>
          <w:sz w:val="24"/>
        </w:rPr>
        <w:t>Para entenderla con más precisión hay que considerar que un billón de dólares estadounidenses (o US$) representa un 1 seguido de doce 0s. A continuación, la lista de las economías más grandes hoy:</w:t>
      </w:r>
    </w:p>
    <w:p w:rsidR="006958BB" w:rsidRPr="00924780" w:rsidRDefault="006958BB" w:rsidP="00924780">
      <w:pPr>
        <w:jc w:val="both"/>
        <w:rPr>
          <w:rFonts w:ascii="Arial" w:hAnsi="Arial" w:cs="Arial"/>
          <w:sz w:val="24"/>
        </w:rPr>
      </w:pPr>
    </w:p>
    <w:p w:rsidR="006958BB" w:rsidRPr="00924780" w:rsidRDefault="006958BB" w:rsidP="00924780">
      <w:pPr>
        <w:jc w:val="both"/>
        <w:rPr>
          <w:rFonts w:ascii="Arial" w:hAnsi="Arial" w:cs="Arial"/>
          <w:sz w:val="24"/>
        </w:rPr>
      </w:pPr>
      <w:r w:rsidRPr="00924780">
        <w:rPr>
          <w:rFonts w:ascii="Arial" w:hAnsi="Arial" w:cs="Arial"/>
          <w:sz w:val="24"/>
        </w:rPr>
        <w:t>Estados Unidos: US$ 26.85 billones</w:t>
      </w:r>
    </w:p>
    <w:p w:rsidR="006958BB" w:rsidRPr="00924780" w:rsidRDefault="006958BB" w:rsidP="00924780">
      <w:pPr>
        <w:jc w:val="both"/>
        <w:rPr>
          <w:rFonts w:ascii="Arial" w:hAnsi="Arial" w:cs="Arial"/>
          <w:sz w:val="24"/>
        </w:rPr>
      </w:pPr>
      <w:r w:rsidRPr="00924780">
        <w:rPr>
          <w:rFonts w:ascii="Arial" w:hAnsi="Arial" w:cs="Arial"/>
          <w:sz w:val="24"/>
        </w:rPr>
        <w:t>China: US$ 19.37 billones</w:t>
      </w:r>
    </w:p>
    <w:p w:rsidR="006958BB" w:rsidRPr="00924780" w:rsidRDefault="006958BB" w:rsidP="00924780">
      <w:pPr>
        <w:jc w:val="both"/>
        <w:rPr>
          <w:rFonts w:ascii="Arial" w:hAnsi="Arial" w:cs="Arial"/>
          <w:sz w:val="24"/>
        </w:rPr>
      </w:pPr>
      <w:r w:rsidRPr="00924780">
        <w:rPr>
          <w:rFonts w:ascii="Arial" w:hAnsi="Arial" w:cs="Arial"/>
          <w:sz w:val="24"/>
        </w:rPr>
        <w:t>Japón: US$ 4.41 billones</w:t>
      </w:r>
    </w:p>
    <w:p w:rsidR="006958BB" w:rsidRPr="00924780" w:rsidRDefault="006958BB" w:rsidP="00924780">
      <w:pPr>
        <w:jc w:val="both"/>
        <w:rPr>
          <w:rFonts w:ascii="Arial" w:hAnsi="Arial" w:cs="Arial"/>
          <w:sz w:val="24"/>
        </w:rPr>
      </w:pPr>
      <w:r w:rsidRPr="00924780">
        <w:rPr>
          <w:rFonts w:ascii="Arial" w:hAnsi="Arial" w:cs="Arial"/>
          <w:sz w:val="24"/>
        </w:rPr>
        <w:t>Alemania: US$ 4.31 billones</w:t>
      </w:r>
    </w:p>
    <w:p w:rsidR="006958BB" w:rsidRPr="00924780" w:rsidRDefault="006958BB" w:rsidP="00924780">
      <w:pPr>
        <w:jc w:val="both"/>
        <w:rPr>
          <w:rFonts w:ascii="Arial" w:hAnsi="Arial" w:cs="Arial"/>
          <w:sz w:val="24"/>
        </w:rPr>
      </w:pPr>
      <w:r w:rsidRPr="00924780">
        <w:rPr>
          <w:rFonts w:ascii="Arial" w:hAnsi="Arial" w:cs="Arial"/>
          <w:sz w:val="24"/>
        </w:rPr>
        <w:t>India: US$ 3.74 billones</w:t>
      </w:r>
    </w:p>
    <w:p w:rsidR="006958BB" w:rsidRPr="00924780" w:rsidRDefault="006958BB" w:rsidP="00924780">
      <w:pPr>
        <w:jc w:val="both"/>
        <w:rPr>
          <w:rFonts w:ascii="Arial" w:hAnsi="Arial" w:cs="Arial"/>
          <w:sz w:val="24"/>
        </w:rPr>
      </w:pPr>
      <w:r w:rsidRPr="00924780">
        <w:rPr>
          <w:rFonts w:ascii="Arial" w:hAnsi="Arial" w:cs="Arial"/>
          <w:sz w:val="24"/>
        </w:rPr>
        <w:t>Reino Unido: US$ 3.16 billones</w:t>
      </w:r>
    </w:p>
    <w:p w:rsidR="006958BB" w:rsidRPr="00924780" w:rsidRDefault="006958BB" w:rsidP="00924780">
      <w:pPr>
        <w:jc w:val="both"/>
        <w:rPr>
          <w:rFonts w:ascii="Arial" w:hAnsi="Arial" w:cs="Arial"/>
          <w:sz w:val="24"/>
        </w:rPr>
      </w:pPr>
      <w:r w:rsidRPr="00924780">
        <w:rPr>
          <w:rFonts w:ascii="Arial" w:hAnsi="Arial" w:cs="Arial"/>
          <w:sz w:val="24"/>
        </w:rPr>
        <w:t>Francia: US$ 2.92 billones</w:t>
      </w:r>
    </w:p>
    <w:p w:rsidR="006958BB" w:rsidRPr="00924780" w:rsidRDefault="006958BB" w:rsidP="00924780">
      <w:pPr>
        <w:jc w:val="both"/>
        <w:rPr>
          <w:rFonts w:ascii="Arial" w:hAnsi="Arial" w:cs="Arial"/>
          <w:sz w:val="24"/>
        </w:rPr>
      </w:pPr>
      <w:r w:rsidRPr="00924780">
        <w:rPr>
          <w:rFonts w:ascii="Arial" w:hAnsi="Arial" w:cs="Arial"/>
          <w:sz w:val="24"/>
        </w:rPr>
        <w:lastRenderedPageBreak/>
        <w:t>Italia: US$ 2.17 billones</w:t>
      </w:r>
    </w:p>
    <w:p w:rsidR="006958BB" w:rsidRPr="00924780" w:rsidRDefault="006958BB" w:rsidP="00924780">
      <w:pPr>
        <w:jc w:val="both"/>
        <w:rPr>
          <w:rFonts w:ascii="Arial" w:hAnsi="Arial" w:cs="Arial"/>
          <w:sz w:val="24"/>
        </w:rPr>
      </w:pPr>
      <w:r w:rsidRPr="00924780">
        <w:rPr>
          <w:rFonts w:ascii="Arial" w:hAnsi="Arial" w:cs="Arial"/>
          <w:sz w:val="24"/>
        </w:rPr>
        <w:t>Canadá: US$ 2.09 billones</w:t>
      </w:r>
    </w:p>
    <w:p w:rsidR="006958BB" w:rsidRPr="00924780" w:rsidRDefault="006958BB" w:rsidP="00924780">
      <w:pPr>
        <w:jc w:val="both"/>
        <w:rPr>
          <w:rFonts w:ascii="Arial" w:hAnsi="Arial" w:cs="Arial"/>
          <w:sz w:val="24"/>
        </w:rPr>
      </w:pPr>
      <w:r w:rsidRPr="00924780">
        <w:rPr>
          <w:rFonts w:ascii="Arial" w:hAnsi="Arial" w:cs="Arial"/>
          <w:sz w:val="24"/>
        </w:rPr>
        <w:t>Brasil: US$ 2.08 billones</w:t>
      </w:r>
    </w:p>
    <w:p w:rsidR="006958BB" w:rsidRPr="00924780" w:rsidRDefault="006958BB" w:rsidP="00924780">
      <w:pPr>
        <w:jc w:val="both"/>
        <w:rPr>
          <w:rFonts w:ascii="Arial" w:hAnsi="Arial" w:cs="Arial"/>
          <w:sz w:val="24"/>
        </w:rPr>
      </w:pPr>
      <w:r w:rsidRPr="00924780">
        <w:rPr>
          <w:rFonts w:ascii="Arial" w:hAnsi="Arial" w:cs="Arial"/>
          <w:sz w:val="24"/>
        </w:rPr>
        <w:t>Rusia: US$ 2.06 billones</w:t>
      </w:r>
    </w:p>
    <w:p w:rsidR="006958BB" w:rsidRPr="00924780" w:rsidRDefault="006958BB" w:rsidP="00924780">
      <w:pPr>
        <w:jc w:val="both"/>
        <w:rPr>
          <w:rFonts w:ascii="Arial" w:hAnsi="Arial" w:cs="Arial"/>
          <w:sz w:val="24"/>
        </w:rPr>
      </w:pPr>
      <w:r w:rsidRPr="00924780">
        <w:rPr>
          <w:rFonts w:ascii="Arial" w:hAnsi="Arial" w:cs="Arial"/>
          <w:sz w:val="24"/>
        </w:rPr>
        <w:t xml:space="preserve">República de </w:t>
      </w:r>
      <w:proofErr w:type="spellStart"/>
      <w:r w:rsidRPr="00924780">
        <w:rPr>
          <w:rFonts w:ascii="Arial" w:hAnsi="Arial" w:cs="Arial"/>
          <w:sz w:val="24"/>
        </w:rPr>
        <w:t>Korea</w:t>
      </w:r>
      <w:proofErr w:type="spellEnd"/>
      <w:r w:rsidRPr="00924780">
        <w:rPr>
          <w:rFonts w:ascii="Arial" w:hAnsi="Arial" w:cs="Arial"/>
          <w:sz w:val="24"/>
        </w:rPr>
        <w:t>: US$ 1.72 billones</w:t>
      </w:r>
    </w:p>
    <w:p w:rsidR="006958BB" w:rsidRPr="00924780" w:rsidRDefault="006958BB" w:rsidP="00924780">
      <w:pPr>
        <w:jc w:val="both"/>
        <w:rPr>
          <w:rFonts w:ascii="Arial" w:hAnsi="Arial" w:cs="Arial"/>
          <w:sz w:val="24"/>
        </w:rPr>
      </w:pPr>
      <w:r w:rsidRPr="00924780">
        <w:rPr>
          <w:rFonts w:ascii="Arial" w:hAnsi="Arial" w:cs="Arial"/>
          <w:sz w:val="24"/>
        </w:rPr>
        <w:t>Australia: US$ 1.71 billones</w:t>
      </w:r>
    </w:p>
    <w:p w:rsidR="006958BB" w:rsidRPr="00924780" w:rsidRDefault="006958BB" w:rsidP="00924780">
      <w:pPr>
        <w:jc w:val="both"/>
        <w:rPr>
          <w:rFonts w:ascii="Arial" w:hAnsi="Arial" w:cs="Arial"/>
          <w:sz w:val="24"/>
        </w:rPr>
      </w:pPr>
      <w:r w:rsidRPr="00924780">
        <w:rPr>
          <w:rFonts w:ascii="Arial" w:hAnsi="Arial" w:cs="Arial"/>
          <w:sz w:val="24"/>
        </w:rPr>
        <w:t>México: US$ 1.66 billones</w:t>
      </w:r>
    </w:p>
    <w:p w:rsidR="006958BB" w:rsidRPr="00924780" w:rsidRDefault="006958BB" w:rsidP="00924780">
      <w:pPr>
        <w:jc w:val="both"/>
        <w:rPr>
          <w:rFonts w:ascii="Arial" w:hAnsi="Arial" w:cs="Arial"/>
          <w:sz w:val="24"/>
        </w:rPr>
      </w:pPr>
      <w:r w:rsidRPr="00924780">
        <w:rPr>
          <w:rFonts w:ascii="Arial" w:hAnsi="Arial" w:cs="Arial"/>
          <w:sz w:val="24"/>
        </w:rPr>
        <w:t>España: US$ 1.49 billones</w:t>
      </w:r>
    </w:p>
    <w:p w:rsidR="006958BB" w:rsidRPr="00924780" w:rsidRDefault="006958BB" w:rsidP="00924780">
      <w:pPr>
        <w:jc w:val="both"/>
        <w:rPr>
          <w:rFonts w:ascii="Arial" w:hAnsi="Arial" w:cs="Arial"/>
          <w:sz w:val="24"/>
        </w:rPr>
      </w:pPr>
      <w:r w:rsidRPr="00924780">
        <w:rPr>
          <w:rFonts w:ascii="Arial" w:hAnsi="Arial" w:cs="Arial"/>
          <w:sz w:val="24"/>
        </w:rPr>
        <w:t>Indonesia: US$ 1.39 billones</w:t>
      </w:r>
    </w:p>
    <w:p w:rsidR="006958BB" w:rsidRPr="00924780" w:rsidRDefault="006958BB" w:rsidP="00924780">
      <w:pPr>
        <w:jc w:val="both"/>
        <w:rPr>
          <w:rFonts w:ascii="Arial" w:hAnsi="Arial" w:cs="Arial"/>
          <w:sz w:val="24"/>
        </w:rPr>
      </w:pPr>
      <w:r w:rsidRPr="00924780">
        <w:rPr>
          <w:rFonts w:ascii="Arial" w:hAnsi="Arial" w:cs="Arial"/>
          <w:sz w:val="24"/>
        </w:rPr>
        <w:t>Países Bajos: US$ 1.08 billones</w:t>
      </w:r>
    </w:p>
    <w:p w:rsidR="006958BB" w:rsidRPr="00924780" w:rsidRDefault="006958BB" w:rsidP="00924780">
      <w:pPr>
        <w:jc w:val="both"/>
        <w:rPr>
          <w:rFonts w:ascii="Arial" w:hAnsi="Arial" w:cs="Arial"/>
          <w:sz w:val="24"/>
        </w:rPr>
      </w:pPr>
      <w:r w:rsidRPr="00924780">
        <w:rPr>
          <w:rFonts w:ascii="Arial" w:hAnsi="Arial" w:cs="Arial"/>
          <w:sz w:val="24"/>
        </w:rPr>
        <w:t>Arabia Saudita: US$ 1.06 billones</w:t>
      </w:r>
    </w:p>
    <w:p w:rsidR="006958BB" w:rsidRPr="00924780" w:rsidRDefault="006958BB" w:rsidP="00924780">
      <w:pPr>
        <w:jc w:val="both"/>
        <w:rPr>
          <w:rFonts w:ascii="Arial" w:hAnsi="Arial" w:cs="Arial"/>
          <w:sz w:val="24"/>
        </w:rPr>
      </w:pPr>
      <w:r w:rsidRPr="00924780">
        <w:rPr>
          <w:rFonts w:ascii="Arial" w:hAnsi="Arial" w:cs="Arial"/>
          <w:sz w:val="24"/>
        </w:rPr>
        <w:t xml:space="preserve">Turquía: US$ </w:t>
      </w:r>
      <w:r w:rsidRPr="00924780">
        <w:rPr>
          <w:rFonts w:ascii="Arial" w:hAnsi="Arial" w:cs="Arial"/>
          <w:sz w:val="24"/>
        </w:rPr>
        <w:t>1.03 billones</w:t>
      </w:r>
    </w:p>
    <w:p w:rsidR="006958BB" w:rsidRPr="00924780" w:rsidRDefault="006958BB" w:rsidP="00924780">
      <w:pPr>
        <w:jc w:val="both"/>
        <w:rPr>
          <w:rFonts w:ascii="Arial" w:hAnsi="Arial" w:cs="Arial"/>
          <w:sz w:val="24"/>
        </w:rPr>
      </w:pPr>
      <w:r w:rsidRPr="00924780">
        <w:rPr>
          <w:rFonts w:ascii="Arial" w:hAnsi="Arial" w:cs="Arial"/>
          <w:sz w:val="24"/>
        </w:rPr>
        <w:t>Suiza: US$ 869.6 mil millones</w:t>
      </w:r>
    </w:p>
    <w:p w:rsidR="006958BB" w:rsidRPr="00924780" w:rsidRDefault="006958BB" w:rsidP="00924780">
      <w:pPr>
        <w:jc w:val="both"/>
        <w:rPr>
          <w:rFonts w:ascii="Arial" w:hAnsi="Arial" w:cs="Arial"/>
          <w:sz w:val="24"/>
        </w:rPr>
      </w:pPr>
    </w:p>
    <w:p w:rsidR="006958BB" w:rsidRPr="00924780" w:rsidRDefault="006958BB" w:rsidP="00924780">
      <w:pPr>
        <w:jc w:val="both"/>
        <w:rPr>
          <w:rFonts w:ascii="Arial" w:hAnsi="Arial" w:cs="Arial"/>
          <w:sz w:val="24"/>
        </w:rPr>
      </w:pPr>
      <w:r w:rsidRPr="00924780">
        <w:rPr>
          <w:rFonts w:ascii="Arial" w:hAnsi="Arial" w:cs="Arial"/>
          <w:sz w:val="24"/>
        </w:rPr>
        <w:t>Como limitación a este modo de cuantificar el poder de las economías, cabe añadir que las variaciones son significativas cuando se toman en cuenta otros factores. Quizás el ejemplo más marcado de ello es que si la fuerza económica de un país se calculara por PIB per cápita o por habitante, los resultados serían muy distintos, ya que las poblaciones varían bastante de país a país.</w:t>
      </w:r>
    </w:p>
    <w:p w:rsidR="006958BB" w:rsidRPr="00924780" w:rsidRDefault="006958BB" w:rsidP="00924780">
      <w:pPr>
        <w:jc w:val="both"/>
        <w:rPr>
          <w:rFonts w:ascii="Arial" w:hAnsi="Arial" w:cs="Arial"/>
          <w:sz w:val="24"/>
        </w:rPr>
      </w:pPr>
      <w:r w:rsidRPr="00924780">
        <w:rPr>
          <w:rFonts w:ascii="Arial" w:hAnsi="Arial" w:cs="Arial"/>
          <w:sz w:val="24"/>
        </w:rPr>
        <w:t xml:space="preserve">Aunado a esto, conviene remarcar que el Producto Interno Bruto no siempre es un reflejo fiel de la riqueza económica de una nación dado que una gran cantidad de los ingresos producidos pertenecen a empresas o trabajadores </w:t>
      </w:r>
      <w:r w:rsidRPr="00924780">
        <w:rPr>
          <w:rFonts w:ascii="Arial" w:hAnsi="Arial" w:cs="Arial"/>
          <w:sz w:val="24"/>
        </w:rPr>
        <w:t>externos que ahí los generaron.</w:t>
      </w:r>
    </w:p>
    <w:p w:rsidR="00224A09" w:rsidRPr="00924780" w:rsidRDefault="00224A09" w:rsidP="00924780">
      <w:pPr>
        <w:jc w:val="both"/>
        <w:rPr>
          <w:rFonts w:ascii="Arial" w:hAnsi="Arial" w:cs="Arial"/>
          <w:sz w:val="24"/>
        </w:rPr>
      </w:pPr>
      <w:r w:rsidRPr="00924780">
        <w:rPr>
          <w:rFonts w:ascii="Arial" w:hAnsi="Arial" w:cs="Arial"/>
          <w:sz w:val="24"/>
        </w:rPr>
        <w:t>Con una población de casi 130 millones, una rica historia cultural y gran diversidad, una geografía favorable y abundantes recursos naturales, México se encuentra entre las quince economías más grandes del mundo y es la segunda de América Latina. El país tiene instituciones macroeconómicas sólidas, está abierto al comercio y tiene una base manufacturera diversificada conectada a cadenas de valor globales.</w:t>
      </w:r>
    </w:p>
    <w:p w:rsidR="00224A09" w:rsidRPr="00924780" w:rsidRDefault="00224A09" w:rsidP="00924780">
      <w:pPr>
        <w:jc w:val="both"/>
        <w:rPr>
          <w:rFonts w:ascii="Arial" w:hAnsi="Arial" w:cs="Arial"/>
          <w:sz w:val="24"/>
        </w:rPr>
      </w:pPr>
    </w:p>
    <w:p w:rsidR="00224A09" w:rsidRPr="00924780" w:rsidRDefault="00224A09" w:rsidP="00924780">
      <w:pPr>
        <w:jc w:val="both"/>
        <w:rPr>
          <w:rFonts w:ascii="Arial" w:hAnsi="Arial" w:cs="Arial"/>
          <w:sz w:val="24"/>
        </w:rPr>
      </w:pPr>
      <w:r w:rsidRPr="00924780">
        <w:rPr>
          <w:rFonts w:ascii="Arial" w:hAnsi="Arial" w:cs="Arial"/>
          <w:sz w:val="24"/>
        </w:rPr>
        <w:t xml:space="preserve">Durante las últimas tres décadas, México ha tenido un desempeño por debajo de lo esperado en términos de crecimiento, inclusión y reducción de la pobreza en comparación con países similares. La economía tuvo un crecimiento estimado en </w:t>
      </w:r>
      <w:r w:rsidRPr="00924780">
        <w:rPr>
          <w:rFonts w:ascii="Arial" w:hAnsi="Arial" w:cs="Arial"/>
          <w:sz w:val="24"/>
        </w:rPr>
        <w:lastRenderedPageBreak/>
        <w:t>poco más del 2.0 por ciento anual entre 1980 y 2022, lo que limita el progreso en la convergencia en relación con las economías de altos ingresos.</w:t>
      </w:r>
    </w:p>
    <w:p w:rsidR="00224A09" w:rsidRPr="00924780" w:rsidRDefault="00224A09" w:rsidP="00924780">
      <w:pPr>
        <w:jc w:val="both"/>
        <w:rPr>
          <w:rFonts w:ascii="Arial" w:hAnsi="Arial" w:cs="Arial"/>
          <w:sz w:val="24"/>
        </w:rPr>
      </w:pPr>
    </w:p>
    <w:p w:rsidR="00224A09" w:rsidRPr="00924780" w:rsidRDefault="00224A09" w:rsidP="00924780">
      <w:pPr>
        <w:jc w:val="both"/>
        <w:rPr>
          <w:rFonts w:ascii="Arial" w:hAnsi="Arial" w:cs="Arial"/>
          <w:sz w:val="24"/>
        </w:rPr>
      </w:pPr>
      <w:r w:rsidRPr="00924780">
        <w:rPr>
          <w:rFonts w:ascii="Arial" w:hAnsi="Arial" w:cs="Arial"/>
          <w:sz w:val="24"/>
        </w:rPr>
        <w:t>La economía mexicana creció 3.1% en 2022, tras un repunte de 4.7% en 2021 después de una caída de 8.0% en 2020 debido a la pandemia de COVID-19. La economía ha recuperado los niveles de empleo y de Producto Interno Bruto (PIB) previos a la pandemia El marco macroeconómico estable de México, el dinamismo de Estados Unidos y la sólida base manufacturera respaldarán el crecimiento económico.</w:t>
      </w:r>
    </w:p>
    <w:p w:rsidR="00224A09" w:rsidRPr="00924780" w:rsidRDefault="00224A09" w:rsidP="00924780">
      <w:pPr>
        <w:jc w:val="both"/>
        <w:rPr>
          <w:rFonts w:ascii="Arial" w:hAnsi="Arial" w:cs="Arial"/>
          <w:sz w:val="24"/>
        </w:rPr>
      </w:pPr>
    </w:p>
    <w:p w:rsidR="00224A09" w:rsidRPr="00924780" w:rsidRDefault="00224A09" w:rsidP="00924780">
      <w:pPr>
        <w:jc w:val="both"/>
        <w:rPr>
          <w:rFonts w:ascii="Arial" w:hAnsi="Arial" w:cs="Arial"/>
          <w:sz w:val="24"/>
        </w:rPr>
      </w:pPr>
      <w:r w:rsidRPr="00924780">
        <w:rPr>
          <w:rFonts w:ascii="Arial" w:hAnsi="Arial" w:cs="Arial"/>
          <w:sz w:val="24"/>
        </w:rPr>
        <w:t xml:space="preserve">Para acelerar el crecimiento económico sostenible y la reducción de la pobreza en el mediano plazo, México debe abordar limitaciones estructurales, como el acceso limitado a las finanzas, la inseguridad, la informalidad, las cargas regulatorias y los cuellos de botella en infraestructura. Abordar estos desafíos es fundamental para aprovechar al máximo la oportunidad que representa el </w:t>
      </w:r>
      <w:proofErr w:type="spellStart"/>
      <w:r w:rsidRPr="00924780">
        <w:rPr>
          <w:rFonts w:ascii="Arial" w:hAnsi="Arial" w:cs="Arial"/>
          <w:sz w:val="24"/>
        </w:rPr>
        <w:t>nearshoring</w:t>
      </w:r>
      <w:proofErr w:type="spellEnd"/>
      <w:r w:rsidRPr="00924780">
        <w:rPr>
          <w:rFonts w:ascii="Arial" w:hAnsi="Arial" w:cs="Arial"/>
          <w:sz w:val="24"/>
        </w:rPr>
        <w:t xml:space="preserve"> en el entorno internacional actual.</w:t>
      </w:r>
    </w:p>
    <w:p w:rsidR="00224A09" w:rsidRPr="00924780" w:rsidRDefault="00224A09" w:rsidP="00924780">
      <w:pPr>
        <w:jc w:val="both"/>
        <w:rPr>
          <w:rFonts w:ascii="Arial" w:hAnsi="Arial" w:cs="Arial"/>
          <w:sz w:val="24"/>
        </w:rPr>
      </w:pPr>
    </w:p>
    <w:p w:rsidR="006A3324" w:rsidRPr="00924780" w:rsidRDefault="006A3324" w:rsidP="00924780">
      <w:pPr>
        <w:jc w:val="both"/>
        <w:rPr>
          <w:rFonts w:ascii="Arial" w:hAnsi="Arial" w:cs="Arial"/>
          <w:sz w:val="24"/>
        </w:rPr>
      </w:pPr>
    </w:p>
    <w:sectPr w:rsidR="006A3324" w:rsidRPr="009247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8BB"/>
    <w:rsid w:val="00224A09"/>
    <w:rsid w:val="006958BB"/>
    <w:rsid w:val="006A3324"/>
    <w:rsid w:val="009247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059EE"/>
  <w15:chartTrackingRefBased/>
  <w15:docId w15:val="{694C8F27-4703-4164-8DAE-4E6C0E01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653</Words>
  <Characters>3595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2023-07-28T14:19:00Z</dcterms:created>
  <dcterms:modified xsi:type="dcterms:W3CDTF">2023-07-28T14:43:00Z</dcterms:modified>
</cp:coreProperties>
</file>